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C9" w:rsidRPr="00442163" w:rsidRDefault="00B84EC9" w:rsidP="00B84EC9">
      <w:pPr>
        <w:pStyle w:val="SECTIONFrontPage"/>
        <w:rPr>
          <w:lang w:val="fi-FI"/>
        </w:rPr>
      </w:pPr>
      <w:bookmarkStart w:id="0" w:name="_GoBack"/>
      <w:bookmarkEnd w:id="0"/>
    </w:p>
    <w:tbl>
      <w:tblPr>
        <w:tblpPr w:vertAnchor="page" w:horzAnchor="page" w:tblpX="1" w:tblpY="1"/>
        <w:tblOverlap w:val="never"/>
        <w:tblW w:w="11907" w:type="dxa"/>
        <w:tblCellMar>
          <w:left w:w="0" w:type="dxa"/>
          <w:right w:w="0" w:type="dxa"/>
        </w:tblCellMar>
        <w:tblLook w:val="01E0" w:firstRow="1" w:lastRow="1" w:firstColumn="1" w:lastColumn="1" w:noHBand="0" w:noVBand="0"/>
      </w:tblPr>
      <w:tblGrid>
        <w:gridCol w:w="7787"/>
        <w:gridCol w:w="212"/>
        <w:gridCol w:w="3229"/>
        <w:gridCol w:w="679"/>
      </w:tblGrid>
      <w:tr w:rsidR="00E222D0" w:rsidRPr="00F40BFD">
        <w:trPr>
          <w:trHeight w:hRule="exact" w:val="210"/>
        </w:trPr>
        <w:tc>
          <w:tcPr>
            <w:tcW w:w="7796" w:type="dxa"/>
          </w:tcPr>
          <w:p w:rsidR="00E222D0" w:rsidRPr="00442163" w:rsidRDefault="00E222D0" w:rsidP="00087916">
            <w:pPr>
              <w:pStyle w:val="Header"/>
              <w:rPr>
                <w:lang w:val="fi-FI"/>
              </w:rPr>
            </w:pPr>
            <w:bookmarkStart w:id="1" w:name="DocumentHeader"/>
          </w:p>
        </w:tc>
        <w:tc>
          <w:tcPr>
            <w:tcW w:w="212" w:type="dxa"/>
          </w:tcPr>
          <w:p w:rsidR="00E222D0" w:rsidRPr="002D1400" w:rsidRDefault="00E222D0" w:rsidP="00087916">
            <w:pPr>
              <w:pStyle w:val="Header"/>
              <w:rPr>
                <w:color w:val="000000" w:themeColor="text1"/>
                <w:lang w:val="fi-FI"/>
              </w:rPr>
            </w:pPr>
          </w:p>
        </w:tc>
        <w:tc>
          <w:tcPr>
            <w:tcW w:w="3232" w:type="dxa"/>
          </w:tcPr>
          <w:p w:rsidR="00E222D0" w:rsidRPr="002D1400" w:rsidRDefault="002D1400" w:rsidP="00F40BFD">
            <w:pPr>
              <w:pStyle w:val="Date"/>
              <w:framePr w:wrap="auto" w:vAnchor="margin" w:hAnchor="text" w:xAlign="left" w:yAlign="inline"/>
              <w:suppressOverlap w:val="0"/>
              <w:rPr>
                <w:color w:val="000000" w:themeColor="text1"/>
                <w:lang w:val="fi-FI"/>
              </w:rPr>
            </w:pPr>
            <w:r w:rsidRPr="002D1400">
              <w:rPr>
                <w:color w:val="000000" w:themeColor="text1"/>
                <w:lang w:val="fi-FI"/>
              </w:rPr>
              <w:t>24</w:t>
            </w:r>
            <w:r w:rsidR="00F40BFD" w:rsidRPr="002D1400">
              <w:rPr>
                <w:color w:val="000000" w:themeColor="text1"/>
                <w:lang w:val="fi-FI"/>
              </w:rPr>
              <w:t xml:space="preserve">. tammikuuta </w:t>
            </w:r>
            <w:r w:rsidR="00E641FD" w:rsidRPr="002D1400">
              <w:rPr>
                <w:color w:val="000000" w:themeColor="text1"/>
                <w:lang w:val="fi-FI"/>
              </w:rPr>
              <w:t>201</w:t>
            </w:r>
            <w:r w:rsidR="0032684A" w:rsidRPr="002D1400">
              <w:rPr>
                <w:color w:val="000000" w:themeColor="text1"/>
                <w:lang w:val="fi-FI"/>
              </w:rPr>
              <w:t>9</w:t>
            </w:r>
          </w:p>
        </w:tc>
        <w:tc>
          <w:tcPr>
            <w:tcW w:w="680" w:type="dxa"/>
          </w:tcPr>
          <w:p w:rsidR="00E222D0" w:rsidRPr="00442163" w:rsidRDefault="00E222D0" w:rsidP="006142EF">
            <w:pPr>
              <w:pStyle w:val="Header"/>
              <w:rPr>
                <w:lang w:val="fi-FI"/>
              </w:rPr>
            </w:pPr>
          </w:p>
        </w:tc>
      </w:tr>
      <w:bookmarkEnd w:id="1"/>
    </w:tbl>
    <w:p w:rsidR="00B84EC9" w:rsidRPr="00442163" w:rsidRDefault="00B84EC9" w:rsidP="00B84EC9">
      <w:pPr>
        <w:pStyle w:val="1pthidden"/>
        <w:rPr>
          <w:lang w:val="fi-FI"/>
        </w:rPr>
      </w:pPr>
    </w:p>
    <w:p w:rsidR="00B84EC9" w:rsidRPr="00442163" w:rsidRDefault="00B84EC9" w:rsidP="00B84EC9">
      <w:pPr>
        <w:pStyle w:val="ELEMENTContributorsFrame"/>
        <w:rPr>
          <w:lang w:val="fi-FI"/>
        </w:rPr>
      </w:pPr>
    </w:p>
    <w:p w:rsidR="008F6255" w:rsidRPr="00442163" w:rsidRDefault="008F6255" w:rsidP="008F6255">
      <w:pPr>
        <w:pStyle w:val="Margintextspacebefore"/>
        <w:framePr w:wrap="around"/>
        <w:rPr>
          <w:lang w:val="fi-FI"/>
        </w:rPr>
      </w:pPr>
    </w:p>
    <w:p w:rsidR="008F6255" w:rsidRPr="00442163" w:rsidRDefault="008F6255" w:rsidP="008F6255">
      <w:pPr>
        <w:pStyle w:val="Margintablespaceafter"/>
        <w:framePr w:wrap="around"/>
        <w:rPr>
          <w:lang w:val="fi-FI"/>
        </w:rPr>
      </w:pPr>
      <w:bookmarkStart w:id="2" w:name="KeyPoints"/>
      <w:bookmarkEnd w:id="2"/>
    </w:p>
    <w:p w:rsidR="00932DE4" w:rsidRPr="00854943" w:rsidRDefault="00AF5923" w:rsidP="00103D2B">
      <w:pPr>
        <w:pStyle w:val="FPTitle"/>
        <w:framePr w:wrap="around"/>
        <w:rPr>
          <w:color w:val="1F497D" w:themeColor="text2"/>
          <w:lang w:val="fi-FI"/>
        </w:rPr>
      </w:pPr>
      <w:bookmarkStart w:id="3" w:name="DocStart"/>
      <w:bookmarkEnd w:id="3"/>
      <w:r>
        <w:rPr>
          <w:color w:val="1F497D" w:themeColor="text2"/>
          <w:lang w:val="fi-FI"/>
        </w:rPr>
        <w:t>K</w:t>
      </w:r>
      <w:r w:rsidR="00075E15">
        <w:rPr>
          <w:color w:val="1F497D" w:themeColor="text2"/>
          <w:lang w:val="fi-FI"/>
        </w:rPr>
        <w:t>uluttajan</w:t>
      </w:r>
      <w:r w:rsidR="00EC3E7E">
        <w:rPr>
          <w:color w:val="1F497D" w:themeColor="text2"/>
          <w:lang w:val="fi-FI"/>
        </w:rPr>
        <w:t xml:space="preserve"> vuosi 2019</w:t>
      </w:r>
    </w:p>
    <w:p w:rsidR="00932DE4" w:rsidRDefault="000F3A32" w:rsidP="00103D2B">
      <w:pPr>
        <w:pStyle w:val="FPSubtitle"/>
        <w:framePr w:wrap="around"/>
        <w:rPr>
          <w:color w:val="1F497D" w:themeColor="text2"/>
          <w:lang w:val="fi-FI"/>
        </w:rPr>
      </w:pPr>
      <w:r>
        <w:rPr>
          <w:color w:val="1F497D" w:themeColor="text2"/>
          <w:lang w:val="fi-FI"/>
        </w:rPr>
        <w:t>Palkansaajien ostovoima nousee</w:t>
      </w:r>
    </w:p>
    <w:p w:rsidR="00F40BFD" w:rsidRPr="00854943" w:rsidRDefault="00F40BFD" w:rsidP="00103D2B">
      <w:pPr>
        <w:pStyle w:val="FPSubtitle"/>
        <w:framePr w:wrap="around"/>
        <w:rPr>
          <w:color w:val="1F497D" w:themeColor="text2"/>
          <w:lang w:val="fi-FI"/>
        </w:rPr>
      </w:pPr>
    </w:p>
    <w:p w:rsidR="00EE5004" w:rsidRPr="00EE5004" w:rsidRDefault="001E3665" w:rsidP="00733CF8">
      <w:pPr>
        <w:pStyle w:val="Bullet"/>
        <w:numPr>
          <w:ilvl w:val="0"/>
          <w:numId w:val="2"/>
        </w:numPr>
        <w:spacing w:after="240" w:line="240" w:lineRule="atLeast"/>
        <w:ind w:right="-28"/>
        <w:rPr>
          <w:rFonts w:ascii="Danske Text" w:hAnsi="Danske Text"/>
          <w:b/>
          <w:color w:val="000000" w:themeColor="text1"/>
          <w:sz w:val="20"/>
          <w:szCs w:val="20"/>
          <w:lang w:val="fi-FI"/>
        </w:rPr>
      </w:pPr>
      <w:r>
        <w:rPr>
          <w:rFonts w:ascii="Danske Text" w:hAnsi="Danske Text"/>
          <w:b/>
          <w:color w:val="000000" w:themeColor="text1"/>
          <w:sz w:val="20"/>
          <w:szCs w:val="20"/>
          <w:lang w:val="fi-FI"/>
        </w:rPr>
        <w:t>Suomen talouden nopein elpymisvaihe on päättynyt, mutta kasvu jatkuu yhä kohtalaisena</w:t>
      </w:r>
      <w:r w:rsidR="00506AF0">
        <w:rPr>
          <w:rFonts w:ascii="Danske Text" w:hAnsi="Danske Text"/>
          <w:b/>
          <w:color w:val="000000" w:themeColor="text1"/>
          <w:sz w:val="20"/>
          <w:szCs w:val="20"/>
          <w:lang w:val="fi-FI"/>
        </w:rPr>
        <w:t xml:space="preserve"> ja kotitalouksien näkymät ovat valoisat</w:t>
      </w:r>
      <w:r w:rsidR="00733CF8">
        <w:rPr>
          <w:rFonts w:ascii="Danske Text" w:hAnsi="Danske Text"/>
          <w:b/>
          <w:color w:val="000000" w:themeColor="text1"/>
          <w:sz w:val="20"/>
          <w:szCs w:val="20"/>
          <w:lang w:val="fi-FI"/>
        </w:rPr>
        <w:t xml:space="preserve">. </w:t>
      </w:r>
      <w:r>
        <w:rPr>
          <w:rFonts w:ascii="Danske Text" w:hAnsi="Danske Text"/>
          <w:b/>
          <w:color w:val="000000" w:themeColor="text1"/>
          <w:sz w:val="20"/>
          <w:szCs w:val="20"/>
          <w:lang w:val="fi-FI"/>
        </w:rPr>
        <w:t>T</w:t>
      </w:r>
      <w:r w:rsidR="00592630">
        <w:rPr>
          <w:rFonts w:ascii="Danske Text" w:hAnsi="Danske Text"/>
          <w:b/>
          <w:color w:val="000000" w:themeColor="text1"/>
          <w:sz w:val="20"/>
          <w:szCs w:val="20"/>
          <w:lang w:val="fi-FI"/>
        </w:rPr>
        <w:t>yöttömyyden aleneminen jatkuu 2019</w:t>
      </w:r>
      <w:r>
        <w:rPr>
          <w:rFonts w:ascii="Danske Text" w:hAnsi="Danske Text"/>
          <w:b/>
          <w:color w:val="000000" w:themeColor="text1"/>
          <w:sz w:val="20"/>
          <w:szCs w:val="20"/>
          <w:lang w:val="fi-FI"/>
        </w:rPr>
        <w:t>,</w:t>
      </w:r>
      <w:r w:rsidR="00EE5004">
        <w:rPr>
          <w:rFonts w:ascii="Danske Text" w:hAnsi="Danske Text"/>
          <w:b/>
          <w:color w:val="000000" w:themeColor="text1"/>
          <w:sz w:val="20"/>
          <w:szCs w:val="20"/>
          <w:lang w:val="fi-FI"/>
        </w:rPr>
        <w:t xml:space="preserve"> ja</w:t>
      </w:r>
      <w:r>
        <w:rPr>
          <w:rFonts w:ascii="Danske Text" w:hAnsi="Danske Text"/>
          <w:b/>
          <w:color w:val="000000" w:themeColor="text1"/>
          <w:sz w:val="20"/>
          <w:szCs w:val="20"/>
          <w:lang w:val="fi-FI"/>
        </w:rPr>
        <w:t xml:space="preserve"> avoimia työpaikkoja on </w:t>
      </w:r>
      <w:r w:rsidR="00592630">
        <w:rPr>
          <w:rFonts w:ascii="Danske Text" w:hAnsi="Danske Text"/>
          <w:b/>
          <w:color w:val="000000" w:themeColor="text1"/>
          <w:sz w:val="20"/>
          <w:szCs w:val="20"/>
          <w:lang w:val="fi-FI"/>
        </w:rPr>
        <w:t>tarjolla runsaasti</w:t>
      </w:r>
      <w:r w:rsidR="00843BBA">
        <w:rPr>
          <w:rFonts w:ascii="Danske Text" w:hAnsi="Danske Text"/>
          <w:b/>
          <w:color w:val="000000" w:themeColor="text1"/>
          <w:sz w:val="20"/>
          <w:szCs w:val="20"/>
          <w:lang w:val="fi-FI"/>
        </w:rPr>
        <w:t>.</w:t>
      </w:r>
    </w:p>
    <w:p w:rsidR="007A5E5D" w:rsidRPr="00592630" w:rsidRDefault="007A164C" w:rsidP="00592630">
      <w:pPr>
        <w:pStyle w:val="Bullet"/>
        <w:numPr>
          <w:ilvl w:val="0"/>
          <w:numId w:val="2"/>
        </w:numPr>
        <w:spacing w:after="240" w:line="240" w:lineRule="atLeast"/>
        <w:ind w:right="-28"/>
        <w:rPr>
          <w:rFonts w:ascii="Danske Text" w:hAnsi="Danske Text"/>
          <w:b/>
          <w:color w:val="FABF8F" w:themeColor="accent6" w:themeTint="99"/>
          <w:sz w:val="20"/>
          <w:szCs w:val="20"/>
          <w:lang w:val="fi-FI"/>
        </w:rPr>
      </w:pPr>
      <w:r>
        <w:rPr>
          <w:rFonts w:ascii="Danske Text" w:hAnsi="Danske Text"/>
          <w:b/>
          <w:color w:val="000000" w:themeColor="text1"/>
          <w:sz w:val="20"/>
          <w:szCs w:val="20"/>
          <w:lang w:val="fi-FI"/>
        </w:rPr>
        <w:t>Palkansaajien keskiansiot</w:t>
      </w:r>
      <w:r w:rsidR="00AB0706">
        <w:rPr>
          <w:rFonts w:ascii="Danske Text" w:hAnsi="Danske Text"/>
          <w:b/>
          <w:color w:val="000000" w:themeColor="text1"/>
          <w:sz w:val="20"/>
          <w:szCs w:val="20"/>
          <w:lang w:val="fi-FI"/>
        </w:rPr>
        <w:t xml:space="preserve"> </w:t>
      </w:r>
      <w:r w:rsidR="00592630">
        <w:rPr>
          <w:rFonts w:ascii="Danske Text" w:hAnsi="Danske Text"/>
          <w:b/>
          <w:color w:val="000000" w:themeColor="text1"/>
          <w:sz w:val="20"/>
          <w:szCs w:val="20"/>
          <w:lang w:val="fi-FI"/>
        </w:rPr>
        <w:t>kääntyivät viime vuonna takaisin nousuun</w:t>
      </w:r>
      <w:r>
        <w:rPr>
          <w:rFonts w:ascii="Danske Text" w:hAnsi="Danske Text"/>
          <w:b/>
          <w:color w:val="000000" w:themeColor="text1"/>
          <w:sz w:val="20"/>
          <w:szCs w:val="20"/>
          <w:lang w:val="fi-FI"/>
        </w:rPr>
        <w:t xml:space="preserve">. Ennustamme nousun jatkuvan tänä vuonna 2,5 prosentin tahtia. </w:t>
      </w:r>
      <w:r w:rsidR="00592630">
        <w:rPr>
          <w:rFonts w:ascii="Danske Text" w:hAnsi="Danske Text"/>
          <w:b/>
          <w:color w:val="000000" w:themeColor="text1"/>
          <w:sz w:val="20"/>
          <w:szCs w:val="20"/>
          <w:lang w:val="fi-FI"/>
        </w:rPr>
        <w:t xml:space="preserve">Työeläkkeisiin tehtiin vuoden alussa </w:t>
      </w:r>
      <w:r>
        <w:rPr>
          <w:rFonts w:ascii="Danske Text" w:hAnsi="Danske Text"/>
          <w:b/>
          <w:color w:val="000000" w:themeColor="text1"/>
          <w:sz w:val="20"/>
          <w:szCs w:val="20"/>
          <w:lang w:val="fi-FI"/>
        </w:rPr>
        <w:t>1,5 prosentin indeksikorotus. Ansiotulojen verotus säilyy likimain ennallaan.</w:t>
      </w:r>
    </w:p>
    <w:p w:rsidR="00B03653" w:rsidRDefault="007A164C" w:rsidP="00F40BFD">
      <w:pPr>
        <w:pStyle w:val="Bullet"/>
        <w:numPr>
          <w:ilvl w:val="0"/>
          <w:numId w:val="2"/>
        </w:numPr>
        <w:spacing w:after="240" w:line="240" w:lineRule="atLeast"/>
        <w:ind w:right="-28"/>
        <w:rPr>
          <w:rFonts w:ascii="Danske Text" w:hAnsi="Danske Text"/>
          <w:b/>
          <w:color w:val="000000" w:themeColor="text1"/>
          <w:sz w:val="20"/>
          <w:szCs w:val="20"/>
          <w:lang w:val="fi-FI"/>
        </w:rPr>
      </w:pPr>
      <w:r>
        <w:rPr>
          <w:rFonts w:ascii="Danske Text" w:hAnsi="Danske Text"/>
          <w:b/>
          <w:color w:val="000000" w:themeColor="text1"/>
          <w:sz w:val="20"/>
          <w:szCs w:val="20"/>
          <w:lang w:val="fi-FI"/>
        </w:rPr>
        <w:t xml:space="preserve">Inflaatio </w:t>
      </w:r>
      <w:r w:rsidR="00506AF0">
        <w:rPr>
          <w:rFonts w:ascii="Danske Text" w:hAnsi="Danske Text"/>
          <w:b/>
          <w:color w:val="000000" w:themeColor="text1"/>
          <w:sz w:val="20"/>
          <w:szCs w:val="20"/>
          <w:lang w:val="fi-FI"/>
        </w:rPr>
        <w:t>jatkaa</w:t>
      </w:r>
      <w:r w:rsidR="00592630">
        <w:rPr>
          <w:rFonts w:ascii="Danske Text" w:hAnsi="Danske Text"/>
          <w:b/>
          <w:color w:val="000000" w:themeColor="text1"/>
          <w:sz w:val="20"/>
          <w:szCs w:val="20"/>
          <w:lang w:val="fi-FI"/>
        </w:rPr>
        <w:t xml:space="preserve"> selvästi k</w:t>
      </w:r>
      <w:r w:rsidR="00506AF0">
        <w:rPr>
          <w:rFonts w:ascii="Danske Text" w:hAnsi="Danske Text"/>
          <w:b/>
          <w:color w:val="000000" w:themeColor="text1"/>
          <w:sz w:val="20"/>
          <w:szCs w:val="20"/>
          <w:lang w:val="fi-FI"/>
        </w:rPr>
        <w:t>eskipalkkojen nousua hitaampana</w:t>
      </w:r>
      <w:r w:rsidR="00592630">
        <w:rPr>
          <w:rFonts w:ascii="Danske Text" w:hAnsi="Danske Text"/>
          <w:b/>
          <w:color w:val="000000" w:themeColor="text1"/>
          <w:sz w:val="20"/>
          <w:szCs w:val="20"/>
          <w:lang w:val="fi-FI"/>
        </w:rPr>
        <w:t>, eli ostovoima kasvaa.</w:t>
      </w:r>
      <w:r w:rsidR="00EE5004">
        <w:rPr>
          <w:rFonts w:ascii="Danske Text" w:hAnsi="Danske Text"/>
          <w:b/>
          <w:color w:val="000000" w:themeColor="text1"/>
          <w:sz w:val="20"/>
          <w:szCs w:val="20"/>
          <w:lang w:val="fi-FI"/>
        </w:rPr>
        <w:t xml:space="preserve"> </w:t>
      </w:r>
      <w:r w:rsidR="00506AF0">
        <w:rPr>
          <w:rFonts w:ascii="Danske Text" w:hAnsi="Danske Text"/>
          <w:b/>
          <w:color w:val="000000" w:themeColor="text1"/>
          <w:sz w:val="20"/>
          <w:szCs w:val="20"/>
          <w:lang w:val="fi-FI"/>
        </w:rPr>
        <w:t>Kuluttajahinnat kallistuvat</w:t>
      </w:r>
      <w:r>
        <w:rPr>
          <w:rFonts w:ascii="Danske Text" w:hAnsi="Danske Text"/>
          <w:b/>
          <w:color w:val="000000" w:themeColor="text1"/>
          <w:sz w:val="20"/>
          <w:szCs w:val="20"/>
          <w:lang w:val="fi-FI"/>
        </w:rPr>
        <w:t xml:space="preserve"> silti</w:t>
      </w:r>
      <w:r w:rsidR="00592630">
        <w:rPr>
          <w:rFonts w:ascii="Danske Text" w:hAnsi="Danske Text"/>
          <w:b/>
          <w:color w:val="000000" w:themeColor="text1"/>
          <w:sz w:val="20"/>
          <w:szCs w:val="20"/>
          <w:lang w:val="fi-FI"/>
        </w:rPr>
        <w:t xml:space="preserve"> laaja-alaisesti eri hyödykeryhmissä. Ruuan hinnan poikke</w:t>
      </w:r>
      <w:r>
        <w:rPr>
          <w:rFonts w:ascii="Danske Text" w:hAnsi="Danske Text"/>
          <w:b/>
          <w:color w:val="000000" w:themeColor="text1"/>
          <w:sz w:val="20"/>
          <w:szCs w:val="20"/>
          <w:lang w:val="fi-FI"/>
        </w:rPr>
        <w:t>u</w:t>
      </w:r>
      <w:r w:rsidR="00592630">
        <w:rPr>
          <w:rFonts w:ascii="Danske Text" w:hAnsi="Danske Text"/>
          <w:b/>
          <w:color w:val="000000" w:themeColor="text1"/>
          <w:sz w:val="20"/>
          <w:szCs w:val="20"/>
          <w:lang w:val="fi-FI"/>
        </w:rPr>
        <w:t>ks</w:t>
      </w:r>
      <w:r w:rsidR="000071A7">
        <w:rPr>
          <w:rFonts w:ascii="Danske Text" w:hAnsi="Danske Text"/>
          <w:b/>
          <w:color w:val="000000" w:themeColor="text1"/>
          <w:sz w:val="20"/>
          <w:szCs w:val="20"/>
          <w:lang w:val="fi-FI"/>
        </w:rPr>
        <w:t>ellinen ale</w:t>
      </w:r>
      <w:r>
        <w:rPr>
          <w:rFonts w:ascii="Danske Text" w:hAnsi="Danske Text"/>
          <w:b/>
          <w:color w:val="000000" w:themeColor="text1"/>
          <w:sz w:val="20"/>
          <w:szCs w:val="20"/>
          <w:lang w:val="fi-FI"/>
        </w:rPr>
        <w:t>nemisjakso päättyi syksyllä</w:t>
      </w:r>
      <w:r w:rsidR="000071A7">
        <w:rPr>
          <w:rFonts w:ascii="Danske Text" w:hAnsi="Danske Text"/>
          <w:b/>
          <w:color w:val="000000" w:themeColor="text1"/>
          <w:sz w:val="20"/>
          <w:szCs w:val="20"/>
          <w:lang w:val="fi-FI"/>
        </w:rPr>
        <w:t xml:space="preserve">. </w:t>
      </w:r>
      <w:r w:rsidR="00506AF0">
        <w:rPr>
          <w:rFonts w:ascii="Danske Text" w:hAnsi="Danske Text"/>
          <w:b/>
          <w:color w:val="000000" w:themeColor="text1"/>
          <w:sz w:val="20"/>
          <w:szCs w:val="20"/>
          <w:lang w:val="fi-FI"/>
        </w:rPr>
        <w:t xml:space="preserve">Öljyn maailmanmarkkinahinnan lasku painaa </w:t>
      </w:r>
      <w:r w:rsidR="003E720F">
        <w:rPr>
          <w:rFonts w:ascii="Danske Text" w:hAnsi="Danske Text"/>
          <w:b/>
          <w:color w:val="000000" w:themeColor="text1"/>
          <w:sz w:val="20"/>
          <w:szCs w:val="20"/>
          <w:lang w:val="fi-FI"/>
        </w:rPr>
        <w:t>keväällä bensan hintaa alas</w:t>
      </w:r>
      <w:r w:rsidR="00506AF0">
        <w:rPr>
          <w:rFonts w:ascii="Danske Text" w:hAnsi="Danske Text"/>
          <w:b/>
          <w:color w:val="000000" w:themeColor="text1"/>
          <w:sz w:val="20"/>
          <w:szCs w:val="20"/>
          <w:lang w:val="fi-FI"/>
        </w:rPr>
        <w:t>.</w:t>
      </w:r>
    </w:p>
    <w:p w:rsidR="00EE5004" w:rsidRDefault="000071A7" w:rsidP="00F40BFD">
      <w:pPr>
        <w:pStyle w:val="Bullet"/>
        <w:numPr>
          <w:ilvl w:val="0"/>
          <w:numId w:val="2"/>
        </w:numPr>
        <w:spacing w:after="240" w:line="240" w:lineRule="atLeast"/>
        <w:ind w:right="-28"/>
        <w:rPr>
          <w:rFonts w:ascii="Danske Text" w:hAnsi="Danske Text"/>
          <w:b/>
          <w:color w:val="000000" w:themeColor="text1"/>
          <w:sz w:val="20"/>
          <w:szCs w:val="20"/>
          <w:lang w:val="fi-FI"/>
        </w:rPr>
      </w:pPr>
      <w:r>
        <w:rPr>
          <w:rFonts w:ascii="Danske Text" w:hAnsi="Danske Text"/>
          <w:b/>
          <w:color w:val="000000" w:themeColor="text1"/>
          <w:sz w:val="20"/>
          <w:szCs w:val="20"/>
          <w:lang w:val="fi-FI"/>
        </w:rPr>
        <w:t>Markkinakorkojen o</w:t>
      </w:r>
      <w:r w:rsidR="00506AF0">
        <w:rPr>
          <w:rFonts w:ascii="Danske Text" w:hAnsi="Danske Text"/>
          <w:b/>
          <w:color w:val="000000" w:themeColor="text1"/>
          <w:sz w:val="20"/>
          <w:szCs w:val="20"/>
          <w:lang w:val="fi-FI"/>
        </w:rPr>
        <w:t>dotetaan nousevan jonkin verran. K</w:t>
      </w:r>
      <w:r>
        <w:rPr>
          <w:rFonts w:ascii="Danske Text" w:hAnsi="Danske Text"/>
          <w:b/>
          <w:color w:val="000000" w:themeColor="text1"/>
          <w:sz w:val="20"/>
          <w:szCs w:val="20"/>
          <w:lang w:val="fi-FI"/>
        </w:rPr>
        <w:t>orkotaso</w:t>
      </w:r>
      <w:r w:rsidR="00EE5004">
        <w:rPr>
          <w:rFonts w:ascii="Danske Text" w:hAnsi="Danske Text"/>
          <w:b/>
          <w:color w:val="000000" w:themeColor="text1"/>
          <w:sz w:val="20"/>
          <w:szCs w:val="20"/>
          <w:lang w:val="fi-FI"/>
        </w:rPr>
        <w:t xml:space="preserve"> pysyy</w:t>
      </w:r>
      <w:r w:rsidR="00506AF0">
        <w:rPr>
          <w:rFonts w:ascii="Danske Text" w:hAnsi="Danske Text"/>
          <w:b/>
          <w:color w:val="000000" w:themeColor="text1"/>
          <w:sz w:val="20"/>
          <w:szCs w:val="20"/>
          <w:lang w:val="fi-FI"/>
        </w:rPr>
        <w:t xml:space="preserve"> silti</w:t>
      </w:r>
      <w:r>
        <w:rPr>
          <w:rFonts w:ascii="Danske Text" w:hAnsi="Danske Text"/>
          <w:b/>
          <w:color w:val="000000" w:themeColor="text1"/>
          <w:sz w:val="20"/>
          <w:szCs w:val="20"/>
          <w:lang w:val="fi-FI"/>
        </w:rPr>
        <w:t xml:space="preserve"> historiallisesti</w:t>
      </w:r>
      <w:r w:rsidR="00EE5004">
        <w:rPr>
          <w:rFonts w:ascii="Danske Text" w:hAnsi="Danske Text"/>
          <w:b/>
          <w:color w:val="000000" w:themeColor="text1"/>
          <w:sz w:val="20"/>
          <w:szCs w:val="20"/>
          <w:lang w:val="fi-FI"/>
        </w:rPr>
        <w:t xml:space="preserve"> matalana </w:t>
      </w:r>
      <w:r>
        <w:rPr>
          <w:rFonts w:ascii="Danske Text" w:hAnsi="Danske Text"/>
          <w:b/>
          <w:color w:val="000000" w:themeColor="text1"/>
          <w:sz w:val="20"/>
          <w:szCs w:val="20"/>
          <w:lang w:val="fi-FI"/>
        </w:rPr>
        <w:t>myös vuonna 2019</w:t>
      </w:r>
      <w:r w:rsidR="00EE5004">
        <w:rPr>
          <w:rFonts w:ascii="Danske Text" w:hAnsi="Danske Text"/>
          <w:b/>
          <w:color w:val="000000" w:themeColor="text1"/>
          <w:sz w:val="20"/>
          <w:szCs w:val="20"/>
          <w:lang w:val="fi-FI"/>
        </w:rPr>
        <w:t xml:space="preserve"> tukien velallisten kotitalouksien </w:t>
      </w:r>
      <w:r w:rsidR="00F8246E">
        <w:rPr>
          <w:rFonts w:ascii="Danske Text" w:hAnsi="Danske Text"/>
          <w:b/>
          <w:color w:val="000000" w:themeColor="text1"/>
          <w:sz w:val="20"/>
          <w:szCs w:val="20"/>
          <w:lang w:val="fi-FI"/>
        </w:rPr>
        <w:t>talous</w:t>
      </w:r>
      <w:r w:rsidR="00EE5004">
        <w:rPr>
          <w:rFonts w:ascii="Danske Text" w:hAnsi="Danske Text"/>
          <w:b/>
          <w:color w:val="000000" w:themeColor="text1"/>
          <w:sz w:val="20"/>
          <w:szCs w:val="20"/>
          <w:lang w:val="fi-FI"/>
        </w:rPr>
        <w:t xml:space="preserve">tilannetta. </w:t>
      </w:r>
      <w:r w:rsidR="00E73B22">
        <w:rPr>
          <w:rFonts w:ascii="Danske Text" w:hAnsi="Danske Text"/>
          <w:b/>
          <w:color w:val="000000" w:themeColor="text1"/>
          <w:sz w:val="20"/>
          <w:szCs w:val="20"/>
          <w:lang w:val="fi-FI"/>
        </w:rPr>
        <w:t>Lyhye</w:t>
      </w:r>
      <w:r w:rsidR="000659A0">
        <w:rPr>
          <w:rFonts w:ascii="Danske Text" w:hAnsi="Danske Text"/>
          <w:b/>
          <w:color w:val="000000" w:themeColor="text1"/>
          <w:sz w:val="20"/>
          <w:szCs w:val="20"/>
          <w:lang w:val="fi-FI"/>
        </w:rPr>
        <w:t>t</w:t>
      </w:r>
      <w:r w:rsidR="00E73B22">
        <w:rPr>
          <w:rFonts w:ascii="Danske Text" w:hAnsi="Danske Text"/>
          <w:b/>
          <w:color w:val="000000" w:themeColor="text1"/>
          <w:sz w:val="20"/>
          <w:szCs w:val="20"/>
          <w:lang w:val="fi-FI"/>
        </w:rPr>
        <w:t xml:space="preserve"> korot säilyvät negatiivisina, mutta 12 kuukauden euriborin ennakoidaan </w:t>
      </w:r>
      <w:r w:rsidR="000731AE">
        <w:rPr>
          <w:rFonts w:ascii="Danske Text" w:hAnsi="Danske Text"/>
          <w:b/>
          <w:color w:val="000000" w:themeColor="text1"/>
          <w:sz w:val="20"/>
          <w:szCs w:val="20"/>
          <w:lang w:val="fi-FI"/>
        </w:rPr>
        <w:t xml:space="preserve">lähestyvän nollatasoa </w:t>
      </w:r>
      <w:r w:rsidR="00E73B22">
        <w:rPr>
          <w:rFonts w:ascii="Danske Text" w:hAnsi="Danske Text"/>
          <w:b/>
          <w:color w:val="000000" w:themeColor="text1"/>
          <w:sz w:val="20"/>
          <w:szCs w:val="20"/>
          <w:lang w:val="fi-FI"/>
        </w:rPr>
        <w:t>loppuvuodesta.</w:t>
      </w:r>
    </w:p>
    <w:p w:rsidR="00EE5004" w:rsidRPr="000659A0" w:rsidRDefault="000659A0" w:rsidP="000659A0">
      <w:pPr>
        <w:pStyle w:val="Bullet"/>
        <w:numPr>
          <w:ilvl w:val="0"/>
          <w:numId w:val="2"/>
        </w:numPr>
        <w:spacing w:after="240" w:line="240" w:lineRule="atLeast"/>
        <w:ind w:right="-28"/>
        <w:rPr>
          <w:rFonts w:ascii="Danske Text" w:hAnsi="Danske Text"/>
          <w:b/>
          <w:color w:val="000000" w:themeColor="text1"/>
          <w:sz w:val="20"/>
          <w:szCs w:val="20"/>
          <w:lang w:val="fi-FI"/>
        </w:rPr>
      </w:pPr>
      <w:r w:rsidRPr="000659A0">
        <w:rPr>
          <w:rFonts w:ascii="Danske Text" w:hAnsi="Danske Text"/>
          <w:b/>
          <w:color w:val="000000" w:themeColor="text1"/>
          <w:sz w:val="20"/>
          <w:szCs w:val="20"/>
          <w:lang w:val="fi-FI"/>
        </w:rPr>
        <w:t>Säästäjille korkoj</w:t>
      </w:r>
      <w:r w:rsidR="00A83AC6">
        <w:rPr>
          <w:rFonts w:ascii="Danske Text" w:hAnsi="Danske Text"/>
          <w:b/>
          <w:color w:val="000000" w:themeColor="text1"/>
          <w:sz w:val="20"/>
          <w:szCs w:val="20"/>
          <w:lang w:val="fi-FI"/>
        </w:rPr>
        <w:t xml:space="preserve">en mataluus on haaste, koska talletusten reaalinen </w:t>
      </w:r>
      <w:r w:rsidRPr="000659A0">
        <w:rPr>
          <w:rFonts w:ascii="Danske Text" w:hAnsi="Danske Text"/>
          <w:b/>
          <w:color w:val="000000" w:themeColor="text1"/>
          <w:sz w:val="20"/>
          <w:szCs w:val="20"/>
          <w:lang w:val="fi-FI"/>
        </w:rPr>
        <w:t xml:space="preserve">tuotto on tukevasti miinuksella. </w:t>
      </w:r>
      <w:r w:rsidR="00285BDF" w:rsidRPr="000659A0">
        <w:rPr>
          <w:rFonts w:ascii="Danske Text" w:hAnsi="Danske Text"/>
          <w:b/>
          <w:color w:val="000000" w:themeColor="text1"/>
          <w:sz w:val="20"/>
          <w:szCs w:val="20"/>
          <w:lang w:val="fi-FI"/>
        </w:rPr>
        <w:t xml:space="preserve">Inflaation ylittävän tuoton saamiseksi on </w:t>
      </w:r>
      <w:r w:rsidR="0032684A">
        <w:rPr>
          <w:rFonts w:ascii="Danske Text" w:hAnsi="Danske Text"/>
          <w:b/>
          <w:color w:val="000000" w:themeColor="text1"/>
          <w:sz w:val="20"/>
          <w:szCs w:val="20"/>
          <w:lang w:val="fi-FI"/>
        </w:rPr>
        <w:t xml:space="preserve">hyväksyttävä </w:t>
      </w:r>
      <w:r w:rsidR="00285BDF" w:rsidRPr="000659A0">
        <w:rPr>
          <w:rFonts w:ascii="Danske Text" w:hAnsi="Danske Text"/>
          <w:b/>
          <w:color w:val="000000" w:themeColor="text1"/>
          <w:sz w:val="20"/>
          <w:szCs w:val="20"/>
          <w:lang w:val="fi-FI"/>
        </w:rPr>
        <w:t xml:space="preserve">riskiä sijoituksissaan esimerkiksi osakesijoituksia lisäämällä. </w:t>
      </w:r>
      <w:r w:rsidR="00A83AC6">
        <w:rPr>
          <w:rFonts w:ascii="Danske Text" w:hAnsi="Danske Text"/>
          <w:b/>
          <w:color w:val="000000" w:themeColor="text1"/>
          <w:sz w:val="20"/>
          <w:szCs w:val="20"/>
          <w:lang w:val="fi-FI"/>
        </w:rPr>
        <w:t>Tunnelmat osakemarkkinoilla ovat hermostuneet, ja kurssien</w:t>
      </w:r>
      <w:r w:rsidR="00285BDF" w:rsidRPr="000659A0">
        <w:rPr>
          <w:rFonts w:ascii="Danske Text" w:hAnsi="Danske Text"/>
          <w:b/>
          <w:color w:val="000000" w:themeColor="text1"/>
          <w:sz w:val="20"/>
          <w:szCs w:val="20"/>
          <w:lang w:val="fi-FI"/>
        </w:rPr>
        <w:t xml:space="preserve"> h</w:t>
      </w:r>
      <w:r w:rsidR="001D1617" w:rsidRPr="000659A0">
        <w:rPr>
          <w:rFonts w:ascii="Danske Text" w:hAnsi="Danske Text"/>
          <w:b/>
          <w:color w:val="000000" w:themeColor="text1"/>
          <w:sz w:val="20"/>
          <w:szCs w:val="20"/>
          <w:lang w:val="fi-FI"/>
        </w:rPr>
        <w:t>eiluntaan on syytä varautua</w:t>
      </w:r>
      <w:r w:rsidR="00A83AC6">
        <w:rPr>
          <w:rFonts w:ascii="Danske Text" w:hAnsi="Danske Text"/>
          <w:b/>
          <w:color w:val="000000" w:themeColor="text1"/>
          <w:sz w:val="20"/>
          <w:szCs w:val="20"/>
          <w:lang w:val="fi-FI"/>
        </w:rPr>
        <w:t xml:space="preserve"> henkisesti.</w:t>
      </w:r>
    </w:p>
    <w:p w:rsidR="00A95497" w:rsidRDefault="001D1617" w:rsidP="003E720F">
      <w:pPr>
        <w:pStyle w:val="Bullet"/>
        <w:numPr>
          <w:ilvl w:val="0"/>
          <w:numId w:val="2"/>
        </w:numPr>
        <w:spacing w:after="240" w:line="240" w:lineRule="atLeast"/>
        <w:ind w:right="-28"/>
        <w:rPr>
          <w:rFonts w:ascii="Danske Text" w:hAnsi="Danske Text"/>
          <w:b/>
          <w:color w:val="000000" w:themeColor="text1"/>
          <w:sz w:val="20"/>
          <w:szCs w:val="20"/>
          <w:lang w:val="fi-FI"/>
        </w:rPr>
      </w:pPr>
      <w:r>
        <w:rPr>
          <w:rFonts w:ascii="Danske Text" w:hAnsi="Danske Text"/>
          <w:b/>
          <w:color w:val="000000" w:themeColor="text1"/>
          <w:sz w:val="20"/>
          <w:szCs w:val="20"/>
          <w:lang w:val="fi-FI"/>
        </w:rPr>
        <w:t>Asuntojen hinnat nousevat</w:t>
      </w:r>
      <w:r w:rsidR="00E73B22">
        <w:rPr>
          <w:rFonts w:ascii="Danske Text" w:hAnsi="Danske Text"/>
          <w:b/>
          <w:color w:val="000000" w:themeColor="text1"/>
          <w:sz w:val="20"/>
          <w:szCs w:val="20"/>
          <w:lang w:val="fi-FI"/>
        </w:rPr>
        <w:t xml:space="preserve"> vain vähän </w:t>
      </w:r>
      <w:r>
        <w:rPr>
          <w:rFonts w:ascii="Danske Text" w:hAnsi="Danske Text"/>
          <w:b/>
          <w:color w:val="000000" w:themeColor="text1"/>
          <w:sz w:val="20"/>
          <w:szCs w:val="20"/>
          <w:lang w:val="fi-FI"/>
        </w:rPr>
        <w:t xml:space="preserve">koko maan tasolla. Alueellinen </w:t>
      </w:r>
      <w:r w:rsidR="00733CF8">
        <w:rPr>
          <w:rFonts w:ascii="Danske Text" w:hAnsi="Danske Text"/>
          <w:b/>
          <w:color w:val="000000" w:themeColor="text1"/>
          <w:sz w:val="20"/>
          <w:szCs w:val="20"/>
          <w:lang w:val="fi-FI"/>
        </w:rPr>
        <w:t>eriytyminen jatkuu</w:t>
      </w:r>
      <w:r w:rsidR="00506AF0">
        <w:rPr>
          <w:rFonts w:ascii="Danske Text" w:hAnsi="Danske Text"/>
          <w:b/>
          <w:color w:val="000000" w:themeColor="text1"/>
          <w:sz w:val="20"/>
          <w:szCs w:val="20"/>
          <w:lang w:val="fi-FI"/>
        </w:rPr>
        <w:t>,</w:t>
      </w:r>
      <w:r w:rsidR="00733CF8">
        <w:rPr>
          <w:rFonts w:ascii="Danske Text" w:hAnsi="Danske Text"/>
          <w:b/>
          <w:color w:val="000000" w:themeColor="text1"/>
          <w:sz w:val="20"/>
          <w:szCs w:val="20"/>
          <w:lang w:val="fi-FI"/>
        </w:rPr>
        <w:t xml:space="preserve"> ja hintojen nousu painottuu pääkaupunkiseudulle ja kasvukeskuksiin.</w:t>
      </w:r>
      <w:r w:rsidR="00E73B22">
        <w:rPr>
          <w:rFonts w:ascii="Danske Text" w:hAnsi="Danske Text"/>
          <w:b/>
          <w:color w:val="000000" w:themeColor="text1"/>
          <w:sz w:val="20"/>
          <w:szCs w:val="20"/>
          <w:lang w:val="fi-FI"/>
        </w:rPr>
        <w:t xml:space="preserve"> </w:t>
      </w:r>
      <w:r w:rsidR="00E73B22">
        <w:rPr>
          <w:rFonts w:ascii="Danske Text" w:hAnsi="Danske Text"/>
          <w:b/>
          <w:color w:val="000000" w:themeColor="text1"/>
          <w:sz w:val="20"/>
          <w:szCs w:val="20"/>
          <w:lang w:val="fi-FI"/>
        </w:rPr>
        <w:lastRenderedPageBreak/>
        <w:t>Uusien asuntojen vahva tarjonta hillitsee myös kaupunkiasuntojen hintojen nousua.</w:t>
      </w:r>
      <w:r w:rsidR="00843BBA">
        <w:rPr>
          <w:rFonts w:ascii="Danske Text" w:hAnsi="Danske Text"/>
          <w:b/>
          <w:color w:val="000000" w:themeColor="text1"/>
          <w:sz w:val="20"/>
          <w:szCs w:val="20"/>
          <w:lang w:val="fi-FI"/>
        </w:rPr>
        <w:t xml:space="preserve"> Koska suomalaisten </w:t>
      </w:r>
      <w:r w:rsidR="00A83AC6">
        <w:rPr>
          <w:rFonts w:ascii="Danske Text" w:hAnsi="Danske Text"/>
          <w:b/>
          <w:color w:val="000000" w:themeColor="text1"/>
          <w:sz w:val="20"/>
          <w:szCs w:val="20"/>
          <w:lang w:val="fi-FI"/>
        </w:rPr>
        <w:t xml:space="preserve">kotitalouksien yksityisestä </w:t>
      </w:r>
      <w:r w:rsidR="00843BBA">
        <w:rPr>
          <w:rFonts w:ascii="Danske Text" w:hAnsi="Danske Text"/>
          <w:b/>
          <w:color w:val="000000" w:themeColor="text1"/>
          <w:sz w:val="20"/>
          <w:szCs w:val="20"/>
          <w:lang w:val="fi-FI"/>
        </w:rPr>
        <w:t>varallisuudesta valtaosa on k</w:t>
      </w:r>
      <w:r w:rsidR="000731AE">
        <w:rPr>
          <w:rFonts w:ascii="Danske Text" w:hAnsi="Danske Text"/>
          <w:b/>
          <w:color w:val="000000" w:themeColor="text1"/>
          <w:sz w:val="20"/>
          <w:szCs w:val="20"/>
          <w:lang w:val="fi-FI"/>
        </w:rPr>
        <w:t xml:space="preserve">iinni asunnoissa, syntyy alueellisesti </w:t>
      </w:r>
      <w:r w:rsidR="00843BBA">
        <w:rPr>
          <w:rFonts w:ascii="Danske Text" w:hAnsi="Danske Text"/>
          <w:b/>
          <w:color w:val="000000" w:themeColor="text1"/>
          <w:sz w:val="20"/>
          <w:szCs w:val="20"/>
          <w:lang w:val="fi-FI"/>
        </w:rPr>
        <w:t>eriytymistä myös suomalaisten varallisuuskehityksessä.</w:t>
      </w:r>
    </w:p>
    <w:p w:rsidR="003E720F" w:rsidRPr="003E720F" w:rsidRDefault="003E720F" w:rsidP="003E720F">
      <w:pPr>
        <w:pStyle w:val="Bullet"/>
        <w:numPr>
          <w:ilvl w:val="0"/>
          <w:numId w:val="0"/>
        </w:numPr>
        <w:spacing w:after="240" w:line="240" w:lineRule="atLeast"/>
        <w:ind w:left="284" w:right="-28"/>
        <w:rPr>
          <w:rFonts w:ascii="Danske Text" w:hAnsi="Danske Text"/>
          <w:b/>
          <w:color w:val="000000" w:themeColor="text1"/>
          <w:sz w:val="20"/>
          <w:szCs w:val="20"/>
          <w:lang w:val="fi-FI"/>
        </w:rPr>
      </w:pPr>
    </w:p>
    <w:p w:rsidR="00EE5004" w:rsidRDefault="00CD3A21">
      <w:pPr>
        <w:rPr>
          <w:sz w:val="28"/>
          <w:szCs w:val="28"/>
          <w:lang w:val="fi-FI"/>
        </w:rPr>
      </w:pPr>
      <w:r>
        <w:rPr>
          <w:noProof/>
          <w:sz w:val="28"/>
          <w:szCs w:val="28"/>
        </w:rPr>
        <w:drawing>
          <wp:inline distT="0" distB="0" distL="0" distR="0" wp14:anchorId="48EDA8D7">
            <wp:extent cx="5364791" cy="24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4791" cy="2412000"/>
                    </a:xfrm>
                    <a:prstGeom prst="rect">
                      <a:avLst/>
                    </a:prstGeom>
                    <a:noFill/>
                  </pic:spPr>
                </pic:pic>
              </a:graphicData>
            </a:graphic>
          </wp:inline>
        </w:drawing>
      </w:r>
    </w:p>
    <w:p w:rsidR="003E720F" w:rsidRDefault="003E720F" w:rsidP="000C1E2C">
      <w:pPr>
        <w:pStyle w:val="Leipis"/>
        <w:rPr>
          <w:rFonts w:ascii="Danske Text" w:hAnsi="Danske Text"/>
          <w:noProof/>
          <w:color w:val="003466"/>
          <w:sz w:val="28"/>
          <w:szCs w:val="28"/>
        </w:rPr>
      </w:pPr>
    </w:p>
    <w:p w:rsidR="000C1E2C" w:rsidRPr="00410AD7" w:rsidRDefault="001F7FA3" w:rsidP="000C1E2C">
      <w:pPr>
        <w:pStyle w:val="Leipis"/>
        <w:rPr>
          <w:rFonts w:ascii="Danske Text" w:hAnsi="Danske Text"/>
          <w:noProof/>
          <w:color w:val="003466"/>
          <w:sz w:val="28"/>
          <w:szCs w:val="28"/>
        </w:rPr>
      </w:pPr>
      <w:r>
        <w:rPr>
          <w:rFonts w:ascii="Danske Text" w:hAnsi="Danske Text"/>
          <w:noProof/>
          <w:color w:val="003466"/>
          <w:sz w:val="28"/>
          <w:szCs w:val="28"/>
        </w:rPr>
        <w:t>Palkansaajien ansiokehitys elpyy</w:t>
      </w:r>
    </w:p>
    <w:tbl>
      <w:tblPr>
        <w:tblpPr w:leftFromText="180" w:rightFromText="180" w:vertAnchor="text" w:horzAnchor="page" w:tblpX="8365" w:tblpY="100"/>
        <w:tblW w:w="0" w:type="auto"/>
        <w:shd w:val="clear" w:color="auto" w:fill="F3F3F3"/>
        <w:tblLayout w:type="fixed"/>
        <w:tblCellMar>
          <w:left w:w="0" w:type="dxa"/>
          <w:right w:w="0" w:type="dxa"/>
        </w:tblCellMar>
        <w:tblLook w:val="01E0" w:firstRow="1" w:lastRow="1" w:firstColumn="1" w:lastColumn="1" w:noHBand="0" w:noVBand="0"/>
      </w:tblPr>
      <w:tblGrid>
        <w:gridCol w:w="3261"/>
      </w:tblGrid>
      <w:tr w:rsidR="000C1E2C" w:rsidRPr="0082238B" w:rsidTr="000C1E2C">
        <w:trPr>
          <w:trHeight w:hRule="exact" w:val="454"/>
        </w:trPr>
        <w:tc>
          <w:tcPr>
            <w:tcW w:w="3261" w:type="dxa"/>
            <w:shd w:val="clear" w:color="auto" w:fill="033466"/>
            <w:vAlign w:val="center"/>
          </w:tcPr>
          <w:p w:rsidR="000C1E2C" w:rsidRPr="0082238B" w:rsidRDefault="00195343" w:rsidP="000C1E2C">
            <w:pPr>
              <w:pStyle w:val="Margindatatitle"/>
              <w:framePr w:w="0" w:wrap="auto" w:vAnchor="margin" w:hAnchor="text" w:xAlign="left" w:yAlign="inline"/>
              <w:rPr>
                <w:lang w:val="fi-FI"/>
              </w:rPr>
            </w:pPr>
            <w:r>
              <w:rPr>
                <w:lang w:val="fi-FI"/>
              </w:rPr>
              <w:t>Ansiotaso nousee taas</w:t>
            </w:r>
          </w:p>
        </w:tc>
      </w:tr>
      <w:tr w:rsidR="000C1E2C" w:rsidRPr="0082238B" w:rsidTr="000C1E2C">
        <w:tc>
          <w:tcPr>
            <w:tcW w:w="3261" w:type="dxa"/>
            <w:shd w:val="clear" w:color="auto" w:fill="F3F3F3"/>
            <w:tcMar>
              <w:top w:w="28" w:type="dxa"/>
              <w:bottom w:w="28" w:type="dxa"/>
            </w:tcMar>
          </w:tcPr>
          <w:p w:rsidR="000C1E2C" w:rsidRPr="0082238B" w:rsidRDefault="00555D0F" w:rsidP="000C1E2C">
            <w:pPr>
              <w:pStyle w:val="Margindataholder"/>
              <w:framePr w:w="0" w:wrap="auto" w:vAnchor="margin" w:hAnchor="text" w:xAlign="left" w:yAlign="inline"/>
              <w:rPr>
                <w:lang w:val="fi-FI"/>
              </w:rPr>
            </w:pPr>
            <w:r>
              <w:object w:dxaOrig="9000" w:dyaOrig="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9pt;height:135.75pt" o:ole="">
                  <v:imagedata r:id="rId9" o:title=""/>
                </v:shape>
                <o:OLEObject Type="Embed" ProgID="Mbnd.mbnd" ShapeID="_x0000_i1025" DrawAspect="Content" ObjectID="_1609667249" r:id="rId10"/>
              </w:object>
            </w:r>
          </w:p>
        </w:tc>
      </w:tr>
    </w:tbl>
    <w:p w:rsidR="00195343" w:rsidRDefault="000C1E2C" w:rsidP="000C1E2C">
      <w:pPr>
        <w:pStyle w:val="Leipis"/>
        <w:rPr>
          <w:rFonts w:ascii="Danske Text" w:hAnsi="Danske Text"/>
        </w:rPr>
      </w:pPr>
      <w:r>
        <w:rPr>
          <w:rFonts w:ascii="Danske Text" w:hAnsi="Danske Text"/>
        </w:rPr>
        <w:t>Pal</w:t>
      </w:r>
      <w:r w:rsidR="000F3A32">
        <w:rPr>
          <w:rFonts w:ascii="Danske Text" w:hAnsi="Danske Text"/>
        </w:rPr>
        <w:t>k</w:t>
      </w:r>
      <w:r>
        <w:rPr>
          <w:rFonts w:ascii="Danske Text" w:hAnsi="Danske Text"/>
        </w:rPr>
        <w:t xml:space="preserve">ansaajien osalta vuosi 2019 </w:t>
      </w:r>
      <w:r w:rsidR="000F3A32">
        <w:rPr>
          <w:rFonts w:ascii="Danske Text" w:hAnsi="Danske Text"/>
        </w:rPr>
        <w:t>jatkaa siitä, mihin edellinen vuosi päätty</w:t>
      </w:r>
      <w:r w:rsidR="00BF0972">
        <w:rPr>
          <w:rFonts w:ascii="Danske Text" w:hAnsi="Danske Text"/>
        </w:rPr>
        <w:t>i: keskimäärin palkat paranevat</w:t>
      </w:r>
      <w:r w:rsidR="000F3A32">
        <w:rPr>
          <w:rFonts w:ascii="Danske Text" w:hAnsi="Danske Text"/>
        </w:rPr>
        <w:t xml:space="preserve"> ja maltilli</w:t>
      </w:r>
      <w:r w:rsidR="00195343">
        <w:rPr>
          <w:rFonts w:ascii="Danske Text" w:hAnsi="Danske Text"/>
        </w:rPr>
        <w:t>sen inflaation jatkuessa</w:t>
      </w:r>
      <w:r w:rsidR="000F3A32">
        <w:rPr>
          <w:rFonts w:ascii="Danske Text" w:hAnsi="Danske Text"/>
        </w:rPr>
        <w:t xml:space="preserve"> ostovoima nousee.</w:t>
      </w:r>
      <w:r w:rsidR="00195343">
        <w:rPr>
          <w:rFonts w:ascii="Danske Text" w:hAnsi="Danske Text"/>
        </w:rPr>
        <w:t xml:space="preserve"> Ansiotason nousu ei ole rakettimaista, mutta </w:t>
      </w:r>
      <w:r w:rsidR="001F7FA3">
        <w:rPr>
          <w:rFonts w:ascii="Danske Text" w:hAnsi="Danske Text"/>
        </w:rPr>
        <w:t xml:space="preserve">se </w:t>
      </w:r>
      <w:r w:rsidR="00195343">
        <w:rPr>
          <w:rFonts w:ascii="Danske Text" w:hAnsi="Danske Text"/>
        </w:rPr>
        <w:t>ylittää</w:t>
      </w:r>
      <w:r w:rsidR="00506AF0">
        <w:rPr>
          <w:rFonts w:ascii="Danske Text" w:hAnsi="Danske Text"/>
        </w:rPr>
        <w:t xml:space="preserve"> viime vuosien tahdin</w:t>
      </w:r>
      <w:r>
        <w:rPr>
          <w:rFonts w:ascii="Danske Text" w:hAnsi="Danske Text"/>
        </w:rPr>
        <w:t xml:space="preserve">. </w:t>
      </w:r>
      <w:r w:rsidR="00807AD0">
        <w:rPr>
          <w:rFonts w:ascii="Danske Text" w:hAnsi="Danske Text"/>
        </w:rPr>
        <w:t>Suomen talouden vaikeat vuodet ovat heijastuneet poikkeu</w:t>
      </w:r>
      <w:r w:rsidR="00F10424">
        <w:rPr>
          <w:rFonts w:ascii="Danske Text" w:hAnsi="Danske Text"/>
        </w:rPr>
        <w:t>ksellisen hitaan ansionousun</w:t>
      </w:r>
      <w:r w:rsidR="00807AD0">
        <w:rPr>
          <w:rFonts w:ascii="Danske Text" w:hAnsi="Danske Text"/>
        </w:rPr>
        <w:t xml:space="preserve"> jaksona. P</w:t>
      </w:r>
      <w:r>
        <w:rPr>
          <w:rFonts w:ascii="Danske Text" w:hAnsi="Danske Text"/>
        </w:rPr>
        <w:t>ohjakosketus koettiin 2017, kun kiky-sopi</w:t>
      </w:r>
      <w:r w:rsidR="001F7FA3">
        <w:rPr>
          <w:rFonts w:ascii="Danske Text" w:hAnsi="Danske Text"/>
        </w:rPr>
        <w:t xml:space="preserve">mus </w:t>
      </w:r>
      <w:r w:rsidR="00F10424">
        <w:rPr>
          <w:rFonts w:ascii="Danske Text" w:hAnsi="Danske Text"/>
        </w:rPr>
        <w:t xml:space="preserve">vei hetkellisesti </w:t>
      </w:r>
      <w:r w:rsidR="001F7FA3">
        <w:rPr>
          <w:rFonts w:ascii="Danske Text" w:hAnsi="Danske Text"/>
        </w:rPr>
        <w:t>inflaatiokorjattujen</w:t>
      </w:r>
      <w:r>
        <w:rPr>
          <w:rFonts w:ascii="Danske Text" w:hAnsi="Danske Text"/>
        </w:rPr>
        <w:t xml:space="preserve"> palkk</w:t>
      </w:r>
      <w:r w:rsidR="001F7FA3">
        <w:rPr>
          <w:rFonts w:ascii="Danske Text" w:hAnsi="Danske Text"/>
        </w:rPr>
        <w:t>ojen</w:t>
      </w:r>
      <w:r w:rsidR="00F10424">
        <w:rPr>
          <w:rFonts w:ascii="Danske Text" w:hAnsi="Danske Text"/>
        </w:rPr>
        <w:t xml:space="preserve"> kehityksen</w:t>
      </w:r>
      <w:r w:rsidR="001F7FA3">
        <w:rPr>
          <w:rFonts w:ascii="Danske Text" w:hAnsi="Danske Text"/>
        </w:rPr>
        <w:t xml:space="preserve"> pakkaselle</w:t>
      </w:r>
      <w:r w:rsidR="00807AD0">
        <w:rPr>
          <w:rFonts w:ascii="Danske Text" w:hAnsi="Danske Text"/>
        </w:rPr>
        <w:t xml:space="preserve">. Viime vuonna palkkojen kasvu </w:t>
      </w:r>
      <w:r>
        <w:rPr>
          <w:rFonts w:ascii="Danske Text" w:hAnsi="Danske Text"/>
        </w:rPr>
        <w:t>vauhd</w:t>
      </w:r>
      <w:r w:rsidR="00195343">
        <w:rPr>
          <w:rFonts w:ascii="Danske Text" w:hAnsi="Danske Text"/>
        </w:rPr>
        <w:t>ittui</w:t>
      </w:r>
      <w:r w:rsidR="00506AF0">
        <w:rPr>
          <w:rFonts w:ascii="Danske Text" w:hAnsi="Danske Text"/>
        </w:rPr>
        <w:t xml:space="preserve"> jälleen noususuhdanteen ja</w:t>
      </w:r>
      <w:r w:rsidR="00807AD0">
        <w:rPr>
          <w:rFonts w:ascii="Danske Text" w:hAnsi="Danske Text"/>
        </w:rPr>
        <w:t xml:space="preserve"> sopimuskorotusten myötä. V</w:t>
      </w:r>
      <w:r>
        <w:rPr>
          <w:rFonts w:ascii="Danske Text" w:hAnsi="Danske Text"/>
        </w:rPr>
        <w:t>uonna palkkakehitystä</w:t>
      </w:r>
      <w:r w:rsidR="00807AD0">
        <w:rPr>
          <w:rFonts w:ascii="Danske Text" w:hAnsi="Danske Text"/>
        </w:rPr>
        <w:t xml:space="preserve"> 2019</w:t>
      </w:r>
      <w:r>
        <w:rPr>
          <w:rFonts w:ascii="Danske Text" w:hAnsi="Danske Text"/>
        </w:rPr>
        <w:t xml:space="preserve"> viitoittaa </w:t>
      </w:r>
      <w:r w:rsidR="001F7FA3">
        <w:rPr>
          <w:rFonts w:ascii="Danske Text" w:hAnsi="Danske Text"/>
        </w:rPr>
        <w:t xml:space="preserve">edellisenä talvena tehdyn </w:t>
      </w:r>
      <w:r>
        <w:rPr>
          <w:rFonts w:ascii="Danske Text" w:hAnsi="Danske Text"/>
        </w:rPr>
        <w:t>kaksivuotisen sopimusjakson toinen vuosi.</w:t>
      </w:r>
      <w:r w:rsidR="00195343">
        <w:rPr>
          <w:rFonts w:ascii="Danske Text" w:hAnsi="Danske Text"/>
        </w:rPr>
        <w:t xml:space="preserve"> </w:t>
      </w:r>
      <w:r>
        <w:rPr>
          <w:rFonts w:ascii="Danske Text" w:hAnsi="Danske Text"/>
        </w:rPr>
        <w:t xml:space="preserve">Sopimuskorotuksien </w:t>
      </w:r>
      <w:r>
        <w:rPr>
          <w:rFonts w:ascii="Danske Text" w:hAnsi="Danske Text"/>
        </w:rPr>
        <w:lastRenderedPageBreak/>
        <w:t>päälle maksettavia liukumia</w:t>
      </w:r>
      <w:r w:rsidR="00195343">
        <w:rPr>
          <w:rFonts w:ascii="Danske Text" w:hAnsi="Danske Text"/>
        </w:rPr>
        <w:t>kin epäilemättä</w:t>
      </w:r>
      <w:r>
        <w:rPr>
          <w:rFonts w:ascii="Danske Text" w:hAnsi="Danske Text"/>
        </w:rPr>
        <w:t xml:space="preserve"> nähdään ja kokonaisuudessaan keskipalkkojen ennakoidaan </w:t>
      </w:r>
      <w:r w:rsidR="00195343">
        <w:rPr>
          <w:rFonts w:ascii="Danske Text" w:hAnsi="Danske Text"/>
        </w:rPr>
        <w:t>nousevan 2,5 prosentin luokkaa.</w:t>
      </w:r>
    </w:p>
    <w:p w:rsidR="005C12CE" w:rsidRDefault="000C1E2C" w:rsidP="00195343">
      <w:pPr>
        <w:pStyle w:val="Leipis"/>
        <w:rPr>
          <w:rFonts w:ascii="Danske Text" w:hAnsi="Danske Text"/>
        </w:rPr>
      </w:pPr>
      <w:r>
        <w:rPr>
          <w:rFonts w:ascii="Danske Text" w:hAnsi="Danske Text"/>
        </w:rPr>
        <w:t xml:space="preserve">Palkkakehityksen lisäksi kuluttajien ostovoimaan vaikuttavat maksetut verot ja muut veroluonteiset maksut. </w:t>
      </w:r>
      <w:r w:rsidR="001F7FA3">
        <w:rPr>
          <w:rFonts w:ascii="Danske Text" w:hAnsi="Danske Text"/>
        </w:rPr>
        <w:t>Vuonna 2019 ovat tulov</w:t>
      </w:r>
      <w:r>
        <w:rPr>
          <w:rFonts w:ascii="Danske Text" w:hAnsi="Danske Text"/>
        </w:rPr>
        <w:t xml:space="preserve">erojen </w:t>
      </w:r>
      <w:r w:rsidR="001F7FA3">
        <w:rPr>
          <w:rFonts w:ascii="Danske Text" w:hAnsi="Danske Text"/>
        </w:rPr>
        <w:t xml:space="preserve">ja veroluonteisten maksujen muutokset </w:t>
      </w:r>
      <w:r>
        <w:rPr>
          <w:rFonts w:ascii="Danske Text" w:hAnsi="Danske Text"/>
        </w:rPr>
        <w:t>useimpien palkansaajien osalta</w:t>
      </w:r>
      <w:r w:rsidR="001F7FA3">
        <w:rPr>
          <w:rFonts w:ascii="Danske Text" w:hAnsi="Danske Text"/>
        </w:rPr>
        <w:t xml:space="preserve"> likimain</w:t>
      </w:r>
      <w:r>
        <w:rPr>
          <w:rFonts w:ascii="Danske Text" w:hAnsi="Danske Text"/>
        </w:rPr>
        <w:t xml:space="preserve"> neutraaleja. Pienituloisten </w:t>
      </w:r>
      <w:r w:rsidR="001F7FA3">
        <w:rPr>
          <w:rFonts w:ascii="Danske Text" w:hAnsi="Danske Text"/>
        </w:rPr>
        <w:t xml:space="preserve">palkansaajien </w:t>
      </w:r>
      <w:r>
        <w:rPr>
          <w:rFonts w:ascii="Danske Text" w:hAnsi="Danske Text"/>
        </w:rPr>
        <w:t>verotus kevenee hieman lähinnä kunnallisverotuksen</w:t>
      </w:r>
      <w:r w:rsidR="00506AF0">
        <w:rPr>
          <w:rFonts w:ascii="Danske Text" w:hAnsi="Danske Text"/>
        </w:rPr>
        <w:t xml:space="preserve"> vähennysten nousun ansiosta</w:t>
      </w:r>
      <w:r>
        <w:rPr>
          <w:rFonts w:ascii="Danske Text" w:hAnsi="Danske Text"/>
        </w:rPr>
        <w:t>.</w:t>
      </w:r>
    </w:p>
    <w:tbl>
      <w:tblPr>
        <w:tblpPr w:leftFromText="180" w:rightFromText="180" w:vertAnchor="text" w:horzAnchor="page" w:tblpX="8265" w:tblpY="46"/>
        <w:tblW w:w="0" w:type="auto"/>
        <w:shd w:val="clear" w:color="auto" w:fill="F3F3F3"/>
        <w:tblLayout w:type="fixed"/>
        <w:tblCellMar>
          <w:left w:w="0" w:type="dxa"/>
          <w:right w:w="0" w:type="dxa"/>
        </w:tblCellMar>
        <w:tblLook w:val="01E0" w:firstRow="1" w:lastRow="1" w:firstColumn="1" w:lastColumn="1" w:noHBand="0" w:noVBand="0"/>
      </w:tblPr>
      <w:tblGrid>
        <w:gridCol w:w="3261"/>
      </w:tblGrid>
      <w:tr w:rsidR="005C12CE" w:rsidRPr="0082238B" w:rsidTr="005C12CE">
        <w:trPr>
          <w:trHeight w:hRule="exact" w:val="454"/>
        </w:trPr>
        <w:tc>
          <w:tcPr>
            <w:tcW w:w="3261" w:type="dxa"/>
            <w:shd w:val="clear" w:color="auto" w:fill="033466"/>
            <w:vAlign w:val="center"/>
          </w:tcPr>
          <w:p w:rsidR="005C12CE" w:rsidRPr="0082238B" w:rsidRDefault="004D0829" w:rsidP="005C12CE">
            <w:pPr>
              <w:pStyle w:val="Margindatatitle"/>
              <w:framePr w:w="0" w:wrap="auto" w:vAnchor="margin" w:hAnchor="text" w:xAlign="left" w:yAlign="inline"/>
              <w:rPr>
                <w:lang w:val="fi-FI"/>
              </w:rPr>
            </w:pPr>
            <w:r>
              <w:rPr>
                <w:lang w:val="fi-FI"/>
              </w:rPr>
              <w:t>Keskieläkkeiden kasvu ja ansiotaso</w:t>
            </w:r>
          </w:p>
        </w:tc>
      </w:tr>
      <w:tr w:rsidR="005C12CE" w:rsidRPr="0082238B" w:rsidTr="005C12CE">
        <w:tc>
          <w:tcPr>
            <w:tcW w:w="3261" w:type="dxa"/>
            <w:shd w:val="clear" w:color="auto" w:fill="F3F3F3"/>
            <w:tcMar>
              <w:top w:w="28" w:type="dxa"/>
              <w:bottom w:w="28" w:type="dxa"/>
            </w:tcMar>
          </w:tcPr>
          <w:p w:rsidR="005C12CE" w:rsidRPr="0082238B" w:rsidRDefault="00555D0F" w:rsidP="005C12CE">
            <w:pPr>
              <w:pStyle w:val="Margindataholder"/>
              <w:framePr w:w="0" w:wrap="auto" w:vAnchor="margin" w:hAnchor="text" w:xAlign="left" w:yAlign="inline"/>
              <w:rPr>
                <w:lang w:val="fi-FI"/>
              </w:rPr>
            </w:pPr>
            <w:r>
              <w:object w:dxaOrig="9000" w:dyaOrig="7500">
                <v:shape id="_x0000_i1026" type="#_x0000_t75" style="width:162.9pt;height:135.75pt" o:ole="">
                  <v:imagedata r:id="rId11" o:title=""/>
                </v:shape>
                <o:OLEObject Type="Embed" ProgID="Mbnd.mbnd" ShapeID="_x0000_i1026" DrawAspect="Content" ObjectID="_1609667250" r:id="rId12"/>
              </w:object>
            </w:r>
          </w:p>
        </w:tc>
      </w:tr>
    </w:tbl>
    <w:p w:rsidR="00894ABA" w:rsidRDefault="00195343" w:rsidP="00195343">
      <w:pPr>
        <w:pStyle w:val="Leipis"/>
        <w:rPr>
          <w:rFonts w:ascii="Danske Text" w:hAnsi="Danske Text"/>
        </w:rPr>
      </w:pPr>
      <w:r>
        <w:rPr>
          <w:rFonts w:ascii="Danske Text" w:hAnsi="Danske Text"/>
        </w:rPr>
        <w:t>Maksussa oleviin työeläkkeisiin tehtiin vuoden alussa 1,5 prosentin korotus, joka vastaa likimain ennustettua inflaatiovauhtia.</w:t>
      </w:r>
      <w:r w:rsidRPr="00FB04E1">
        <w:rPr>
          <w:rFonts w:ascii="Danske Text" w:hAnsi="Danske Text"/>
        </w:rPr>
        <w:t xml:space="preserve"> </w:t>
      </w:r>
      <w:r w:rsidRPr="00195343">
        <w:rPr>
          <w:rFonts w:ascii="Danske Text" w:hAnsi="Danske Text"/>
        </w:rPr>
        <w:t>Viime vuosien tapaan nousee kesk</w:t>
      </w:r>
      <w:r w:rsidR="001F7FA3">
        <w:rPr>
          <w:rFonts w:ascii="Danske Text" w:hAnsi="Danske Text"/>
        </w:rPr>
        <w:t xml:space="preserve">imääräisen eläkkeen taso </w:t>
      </w:r>
      <w:r w:rsidRPr="00195343">
        <w:rPr>
          <w:rFonts w:ascii="Danske Text" w:hAnsi="Danske Text"/>
        </w:rPr>
        <w:t>silti sel</w:t>
      </w:r>
      <w:r w:rsidR="005C12CE">
        <w:rPr>
          <w:rFonts w:ascii="Danske Text" w:hAnsi="Danske Text"/>
        </w:rPr>
        <w:t xml:space="preserve">västi indeksikorotusta enemmän. </w:t>
      </w:r>
      <w:r w:rsidRPr="00195343">
        <w:rPr>
          <w:rFonts w:ascii="Danske Text" w:hAnsi="Danske Text"/>
        </w:rPr>
        <w:t>Taustalla on eläkeläisten</w:t>
      </w:r>
      <w:r w:rsidR="001F7FA3">
        <w:rPr>
          <w:rFonts w:ascii="Danske Text" w:hAnsi="Danske Text"/>
        </w:rPr>
        <w:t xml:space="preserve"> joukon rakenteellinen</w:t>
      </w:r>
      <w:r w:rsidRPr="00195343">
        <w:rPr>
          <w:rFonts w:ascii="Danske Text" w:hAnsi="Danske Text"/>
        </w:rPr>
        <w:t xml:space="preserve"> muutos, jossa euromääräi</w:t>
      </w:r>
      <w:r w:rsidR="001F7FA3">
        <w:rPr>
          <w:rFonts w:ascii="Danske Text" w:hAnsi="Danske Text"/>
        </w:rPr>
        <w:t>sesti keskiarvoa suuremmat uutena</w:t>
      </w:r>
      <w:r w:rsidRPr="00195343">
        <w:rPr>
          <w:rFonts w:ascii="Danske Text" w:hAnsi="Danske Text"/>
        </w:rPr>
        <w:t xml:space="preserve"> alkavat eläkkeet hilaavat keskimä</w:t>
      </w:r>
      <w:r w:rsidR="001F7FA3">
        <w:rPr>
          <w:rFonts w:ascii="Danske Text" w:hAnsi="Danske Text"/>
        </w:rPr>
        <w:t>ä</w:t>
      </w:r>
      <w:r w:rsidRPr="00195343">
        <w:rPr>
          <w:rFonts w:ascii="Danske Text" w:hAnsi="Danske Text"/>
        </w:rPr>
        <w:t>räise</w:t>
      </w:r>
      <w:r w:rsidR="001F7FA3">
        <w:rPr>
          <w:rFonts w:ascii="Danske Text" w:hAnsi="Danske Text"/>
        </w:rPr>
        <w:t>n eläkke</w:t>
      </w:r>
      <w:r w:rsidRPr="00195343">
        <w:rPr>
          <w:rFonts w:ascii="Danske Text" w:hAnsi="Danske Text"/>
        </w:rPr>
        <w:t>en tasoa ylöspäin.</w:t>
      </w:r>
      <w:r w:rsidR="001F7FA3">
        <w:rPr>
          <w:rFonts w:ascii="Danske Text" w:hAnsi="Danske Text"/>
        </w:rPr>
        <w:t xml:space="preserve"> Viime vuosina keskiel</w:t>
      </w:r>
      <w:r w:rsidR="00F10424">
        <w:rPr>
          <w:rFonts w:ascii="Danske Text" w:hAnsi="Danske Text"/>
        </w:rPr>
        <w:t xml:space="preserve">äkkeen taso on noussut </w:t>
      </w:r>
      <w:r w:rsidR="001F7FA3">
        <w:rPr>
          <w:rFonts w:ascii="Danske Text" w:hAnsi="Danske Text"/>
        </w:rPr>
        <w:t>palkansaajien ansiotasoa enemmän</w:t>
      </w:r>
      <w:r w:rsidR="00894ABA">
        <w:rPr>
          <w:rFonts w:ascii="Danske Text" w:hAnsi="Danske Text"/>
        </w:rPr>
        <w:t xml:space="preserve"> </w:t>
      </w:r>
      <w:r w:rsidR="001F7FA3">
        <w:rPr>
          <w:rFonts w:ascii="Danske Text" w:hAnsi="Danske Text"/>
        </w:rPr>
        <w:t xml:space="preserve">suurten ikäluokkien jäädessä </w:t>
      </w:r>
      <w:r w:rsidR="00BF0972">
        <w:rPr>
          <w:rFonts w:ascii="Danske Text" w:hAnsi="Danske Text"/>
        </w:rPr>
        <w:t>eläkkeelle</w:t>
      </w:r>
      <w:r w:rsidR="001F7FA3">
        <w:rPr>
          <w:rFonts w:ascii="Danske Text" w:hAnsi="Danske Text"/>
        </w:rPr>
        <w:t xml:space="preserve"> ja heikon talouskehityksen painaessa palkansa</w:t>
      </w:r>
      <w:r w:rsidR="00F10424">
        <w:rPr>
          <w:rFonts w:ascii="Danske Text" w:hAnsi="Danske Text"/>
        </w:rPr>
        <w:t>ajien ansiokasvua.</w:t>
      </w:r>
    </w:p>
    <w:p w:rsidR="00195343" w:rsidRDefault="001F7FA3" w:rsidP="00195343">
      <w:pPr>
        <w:pStyle w:val="Leipis"/>
        <w:rPr>
          <w:rFonts w:ascii="Danske Text" w:hAnsi="Danske Text"/>
        </w:rPr>
      </w:pPr>
      <w:r>
        <w:rPr>
          <w:rFonts w:ascii="Danske Text" w:hAnsi="Danske Text"/>
        </w:rPr>
        <w:t>Vuonna 2019 ei</w:t>
      </w:r>
      <w:r w:rsidR="00894ABA">
        <w:rPr>
          <w:rFonts w:ascii="Danske Text" w:hAnsi="Danske Text"/>
        </w:rPr>
        <w:t>vät</w:t>
      </w:r>
      <w:r>
        <w:rPr>
          <w:rFonts w:ascii="Danske Text" w:hAnsi="Danske Text"/>
        </w:rPr>
        <w:t xml:space="preserve"> kansaneläke tai</w:t>
      </w:r>
      <w:r w:rsidR="00195343">
        <w:rPr>
          <w:rFonts w:ascii="Danske Text" w:hAnsi="Danske Text"/>
        </w:rPr>
        <w:t xml:space="preserve"> muut kansaneläkeindeksiin sidotut etuudet kuten lapsil</w:t>
      </w:r>
      <w:r w:rsidR="00506AF0">
        <w:rPr>
          <w:rFonts w:ascii="Danske Text" w:hAnsi="Danske Text"/>
        </w:rPr>
        <w:t>isät tai</w:t>
      </w:r>
      <w:r>
        <w:rPr>
          <w:rFonts w:ascii="Danske Text" w:hAnsi="Danske Text"/>
        </w:rPr>
        <w:t xml:space="preserve"> työttömyyspäiväraha sen sijaan</w:t>
      </w:r>
      <w:r w:rsidR="00195343">
        <w:rPr>
          <w:rFonts w:ascii="Danske Text" w:hAnsi="Danske Text"/>
        </w:rPr>
        <w:t xml:space="preserve"> nouse indeksijäädytyksen se</w:t>
      </w:r>
      <w:r>
        <w:rPr>
          <w:rFonts w:ascii="Danske Text" w:hAnsi="Danske Text"/>
        </w:rPr>
        <w:t>urauksena. Kyseessä on vuonna 2017 aloitetun kolmivuotisen säästöohjelman viimeinen vuosi. Muutamiin yksittäisiin etuuksiin kuten takuueläkkeeseen on tehty indeksoinnista riippumaton tasokorotus.</w:t>
      </w:r>
    </w:p>
    <w:p w:rsidR="000C1E2C" w:rsidRDefault="000C1E2C" w:rsidP="005B7B70">
      <w:pPr>
        <w:pStyle w:val="Valiotsikot"/>
        <w:rPr>
          <w:rFonts w:ascii="Danske Text" w:hAnsi="Danske Text"/>
          <w:sz w:val="28"/>
          <w:szCs w:val="28"/>
          <w:lang w:val="fi-FI"/>
        </w:rPr>
      </w:pPr>
    </w:p>
    <w:tbl>
      <w:tblPr>
        <w:tblStyle w:val="Placeholder"/>
        <w:tblpPr w:leftFromText="180" w:rightFromText="180" w:vertAnchor="text" w:horzAnchor="margin" w:tblpY="-42"/>
        <w:tblW w:w="6859" w:type="dxa"/>
        <w:tblLayout w:type="fixed"/>
        <w:tblLook w:val="04E0" w:firstRow="1" w:lastRow="1" w:firstColumn="1" w:lastColumn="0" w:noHBand="0" w:noVBand="1"/>
      </w:tblPr>
      <w:tblGrid>
        <w:gridCol w:w="6859"/>
      </w:tblGrid>
      <w:tr w:rsidR="001F7FA3" w:rsidRPr="007D3DC8" w:rsidTr="001F7FA3">
        <w:trPr>
          <w:cantSplit/>
        </w:trPr>
        <w:tc>
          <w:tcPr>
            <w:tcW w:w="6859" w:type="dxa"/>
          </w:tcPr>
          <w:p w:rsidR="001F7FA3" w:rsidRPr="007D3DC8" w:rsidRDefault="001F7FA3" w:rsidP="001F7FA3">
            <w:pPr>
              <w:pStyle w:val="Tabletitle"/>
              <w:rPr>
                <w:lang w:val="fi-FI"/>
              </w:rPr>
            </w:pPr>
            <w:bookmarkStart w:id="4" w:name="PH_1_4_41_056170"/>
            <w:r w:rsidRPr="007D3DC8">
              <w:rPr>
                <w:lang w:val="fi-FI"/>
              </w:rPr>
              <w:lastRenderedPageBreak/>
              <w:t>Kuluttajia koskevia veromuuto</w:t>
            </w:r>
            <w:r>
              <w:rPr>
                <w:lang w:val="fi-FI"/>
              </w:rPr>
              <w:t>ksia vuodelle 2019</w:t>
            </w:r>
          </w:p>
        </w:tc>
      </w:tr>
      <w:tr w:rsidR="001F7FA3" w:rsidRPr="003E720F" w:rsidTr="001F7FA3">
        <w:trPr>
          <w:cantSplit/>
        </w:trPr>
        <w:tc>
          <w:tcPr>
            <w:tcW w:w="6859" w:type="dxa"/>
          </w:tcPr>
          <w:tbl>
            <w:tblPr>
              <w:tblStyle w:val="TableGrid"/>
              <w:tblW w:w="6860" w:type="dxa"/>
              <w:tblLayout w:type="fixed"/>
              <w:tblLook w:val="06A0" w:firstRow="1" w:lastRow="0" w:firstColumn="1" w:lastColumn="0" w:noHBand="1" w:noVBand="1"/>
            </w:tblPr>
            <w:tblGrid>
              <w:gridCol w:w="6860"/>
            </w:tblGrid>
            <w:tr w:rsidR="001F7FA3" w:rsidRPr="007D3DC8" w:rsidTr="0000725C">
              <w:tc>
                <w:tcPr>
                  <w:tcW w:w="6860" w:type="dxa"/>
                  <w:tcBorders>
                    <w:bottom w:val="single" w:sz="2" w:space="0" w:color="808080"/>
                  </w:tcBorders>
                </w:tcPr>
                <w:p w:rsidR="001F7FA3" w:rsidRPr="007D3DC8" w:rsidRDefault="001F7FA3" w:rsidP="001F7FA3">
                  <w:pPr>
                    <w:framePr w:hSpace="180" w:wrap="around" w:vAnchor="text" w:hAnchor="margin" w:y="-42"/>
                    <w:rPr>
                      <w:b/>
                      <w:lang w:val="fi-FI"/>
                    </w:rPr>
                  </w:pPr>
                </w:p>
              </w:tc>
            </w:tr>
            <w:tr w:rsidR="001F7FA3" w:rsidRPr="003E720F" w:rsidTr="0000725C">
              <w:tc>
                <w:tcPr>
                  <w:tcW w:w="6860" w:type="dxa"/>
                  <w:tcBorders>
                    <w:top w:val="single" w:sz="2" w:space="0" w:color="808080"/>
                  </w:tcBorders>
                </w:tcPr>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Kokonaisuudessaan palkansaajien verotus pysyy likimain ennallaan.</w:t>
                  </w:r>
                </w:p>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Palkansaajien työelämaksu nousee 0,4 %-yksikköä, mutta työeläkevakuutusmaksu laskee vastaavasti 0,4 %-yksikköä</w:t>
                  </w:r>
                  <w:r w:rsidR="00894ABA">
                    <w:rPr>
                      <w:color w:val="000000" w:themeColor="text1"/>
                      <w:lang w:val="fi-FI"/>
                    </w:rPr>
                    <w:t>.</w:t>
                  </w:r>
                </w:p>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Työasuntovähennyksen kuukausikohtainen enimmäismäärä nousee</w:t>
                  </w:r>
                  <w:r w:rsidR="00894ABA">
                    <w:rPr>
                      <w:color w:val="000000" w:themeColor="text1"/>
                      <w:lang w:val="fi-FI"/>
                    </w:rPr>
                    <w:t>.</w:t>
                  </w:r>
                  <w:r w:rsidRPr="00164B8A">
                    <w:rPr>
                      <w:color w:val="000000" w:themeColor="text1"/>
                      <w:lang w:val="fi-FI"/>
                    </w:rPr>
                    <w:t xml:space="preserve"> </w:t>
                  </w:r>
                </w:p>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Asuntolainojen korkovähennystä pienennetään 25 %:iin</w:t>
                  </w:r>
                  <w:r w:rsidR="00894ABA">
                    <w:rPr>
                      <w:color w:val="000000" w:themeColor="text1"/>
                      <w:lang w:val="fi-FI"/>
                    </w:rPr>
                    <w:t>.</w:t>
                  </w:r>
                </w:p>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 xml:space="preserve">Kiinteistövero nousee 34 kunnassa, mutta nostot </w:t>
                  </w:r>
                  <w:r w:rsidR="00894ABA">
                    <w:rPr>
                      <w:color w:val="000000" w:themeColor="text1"/>
                      <w:lang w:val="fi-FI"/>
                    </w:rPr>
                    <w:t xml:space="preserve">ovat </w:t>
                  </w:r>
                  <w:r w:rsidRPr="00164B8A">
                    <w:rPr>
                      <w:color w:val="000000" w:themeColor="text1"/>
                      <w:lang w:val="fi-FI"/>
                    </w:rPr>
                    <w:t>melko vähäisiä</w:t>
                  </w:r>
                  <w:r w:rsidR="00894ABA">
                    <w:rPr>
                      <w:color w:val="000000" w:themeColor="text1"/>
                      <w:lang w:val="fi-FI"/>
                    </w:rPr>
                    <w:t>.</w:t>
                  </w:r>
                </w:p>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Autovero kevenee painottuen pienipäästöisiin autoihin</w:t>
                  </w:r>
                  <w:r w:rsidR="00894ABA">
                    <w:rPr>
                      <w:color w:val="000000" w:themeColor="text1"/>
                      <w:lang w:val="fi-FI"/>
                    </w:rPr>
                    <w:t>.</w:t>
                  </w:r>
                </w:p>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Alkoholin ja virvoitusjuomien verotus kiristyy</w:t>
                  </w:r>
                  <w:r w:rsidR="00894ABA">
                    <w:rPr>
                      <w:color w:val="000000" w:themeColor="text1"/>
                      <w:lang w:val="fi-FI"/>
                    </w:rPr>
                    <w:t>.</w:t>
                  </w:r>
                </w:p>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Lämmityspolttoaineiden verotusta korotetaan</w:t>
                  </w:r>
                  <w:r w:rsidR="00894ABA">
                    <w:rPr>
                      <w:color w:val="000000" w:themeColor="text1"/>
                      <w:lang w:val="fi-FI"/>
                    </w:rPr>
                    <w:t>.</w:t>
                  </w:r>
                </w:p>
                <w:p w:rsidR="001F7FA3"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Tupakkaveroa nostetaan kaksi kertaa (1.1. ja 1.7.2019)</w:t>
                  </w:r>
                  <w:r w:rsidR="00894ABA">
                    <w:rPr>
                      <w:color w:val="000000" w:themeColor="text1"/>
                      <w:lang w:val="fi-FI"/>
                    </w:rPr>
                    <w:t>.</w:t>
                  </w:r>
                </w:p>
                <w:p w:rsidR="001F7FA3" w:rsidRPr="00164B8A" w:rsidRDefault="001F7FA3" w:rsidP="001F7FA3">
                  <w:pPr>
                    <w:pStyle w:val="ListParagraph"/>
                    <w:framePr w:hSpace="180" w:wrap="around" w:vAnchor="text" w:hAnchor="margin" w:y="-42"/>
                    <w:numPr>
                      <w:ilvl w:val="0"/>
                      <w:numId w:val="44"/>
                    </w:numPr>
                    <w:rPr>
                      <w:color w:val="000000" w:themeColor="text1"/>
                      <w:lang w:val="fi-FI"/>
                    </w:rPr>
                  </w:pPr>
                  <w:r w:rsidRPr="00164B8A">
                    <w:rPr>
                      <w:color w:val="000000" w:themeColor="text1"/>
                      <w:lang w:val="fi-FI"/>
                    </w:rPr>
                    <w:t>Sähkö</w:t>
                  </w:r>
                  <w:r w:rsidR="00894ABA">
                    <w:rPr>
                      <w:color w:val="000000" w:themeColor="text1"/>
                      <w:lang w:val="fi-FI"/>
                    </w:rPr>
                    <w:t>isten julkaisujen arvonlisäverokanta</w:t>
                  </w:r>
                  <w:r w:rsidRPr="00164B8A">
                    <w:rPr>
                      <w:color w:val="000000" w:themeColor="text1"/>
                      <w:lang w:val="fi-FI"/>
                    </w:rPr>
                    <w:t xml:space="preserve"> alenee heinäkuussa 10 %:iin</w:t>
                  </w:r>
                  <w:r w:rsidR="00894ABA">
                    <w:rPr>
                      <w:color w:val="000000" w:themeColor="text1"/>
                      <w:lang w:val="fi-FI"/>
                    </w:rPr>
                    <w:t>.</w:t>
                  </w:r>
                </w:p>
                <w:p w:rsidR="001F7FA3" w:rsidRPr="00E15F94" w:rsidRDefault="001F7FA3" w:rsidP="001F7FA3">
                  <w:pPr>
                    <w:framePr w:hSpace="180" w:wrap="around" w:vAnchor="text" w:hAnchor="margin" w:y="-42"/>
                    <w:rPr>
                      <w:lang w:val="fi-FI"/>
                    </w:rPr>
                  </w:pPr>
                </w:p>
              </w:tc>
            </w:tr>
          </w:tbl>
          <w:p w:rsidR="001F7FA3" w:rsidRPr="00E15F94" w:rsidRDefault="001F7FA3" w:rsidP="001F7FA3">
            <w:pPr>
              <w:pStyle w:val="Tableholder"/>
              <w:rPr>
                <w:lang w:val="fi-FI"/>
              </w:rPr>
            </w:pPr>
          </w:p>
        </w:tc>
      </w:tr>
      <w:tr w:rsidR="001F7FA3" w:rsidRPr="003E720F" w:rsidTr="001F7FA3">
        <w:trPr>
          <w:cantSplit/>
        </w:trPr>
        <w:tc>
          <w:tcPr>
            <w:tcW w:w="6859" w:type="dxa"/>
          </w:tcPr>
          <w:p w:rsidR="001F7FA3" w:rsidRPr="00B922D8" w:rsidRDefault="001F7FA3" w:rsidP="001F7FA3">
            <w:pPr>
              <w:pStyle w:val="Tablesource"/>
              <w:rPr>
                <w:lang w:val="fi-FI"/>
              </w:rPr>
            </w:pPr>
            <w:r w:rsidRPr="00B922D8">
              <w:rPr>
                <w:lang w:val="fi-FI"/>
              </w:rPr>
              <w:t>Lähde: Danske Bank, Veronmaksajien keskusliitto</w:t>
            </w:r>
          </w:p>
        </w:tc>
      </w:tr>
      <w:bookmarkEnd w:id="4"/>
    </w:tbl>
    <w:p w:rsidR="00C83C2F" w:rsidRDefault="00C83C2F" w:rsidP="000C1E2C">
      <w:pPr>
        <w:pStyle w:val="Valiotsikot"/>
        <w:rPr>
          <w:rFonts w:ascii="Danske Text" w:hAnsi="Danske Text"/>
          <w:sz w:val="28"/>
          <w:szCs w:val="28"/>
          <w:lang w:val="fi-FI"/>
        </w:rPr>
      </w:pPr>
    </w:p>
    <w:p w:rsidR="000C1E2C" w:rsidRPr="0082238B" w:rsidRDefault="002E3F10" w:rsidP="000C1E2C">
      <w:pPr>
        <w:pStyle w:val="Valiotsikot"/>
        <w:rPr>
          <w:rFonts w:ascii="Danske Text" w:hAnsi="Danske Text"/>
          <w:sz w:val="28"/>
          <w:szCs w:val="28"/>
          <w:lang w:val="fi-FI"/>
        </w:rPr>
      </w:pPr>
      <w:r>
        <w:rPr>
          <w:rFonts w:ascii="Danske Text" w:hAnsi="Danske Text"/>
          <w:sz w:val="28"/>
          <w:szCs w:val="28"/>
          <w:lang w:val="fi-FI"/>
        </w:rPr>
        <w:t>Inflaatio yhä maltillista</w:t>
      </w:r>
    </w:p>
    <w:tbl>
      <w:tblPr>
        <w:tblpPr w:leftFromText="180" w:rightFromText="180" w:vertAnchor="text" w:horzAnchor="page" w:tblpX="8328" w:tblpY="717"/>
        <w:tblW w:w="0" w:type="auto"/>
        <w:shd w:val="clear" w:color="auto" w:fill="F3F3F3"/>
        <w:tblLayout w:type="fixed"/>
        <w:tblCellMar>
          <w:left w:w="0" w:type="dxa"/>
          <w:right w:w="0" w:type="dxa"/>
        </w:tblCellMar>
        <w:tblLook w:val="01E0" w:firstRow="1" w:lastRow="1" w:firstColumn="1" w:lastColumn="1" w:noHBand="0" w:noVBand="0"/>
      </w:tblPr>
      <w:tblGrid>
        <w:gridCol w:w="3299"/>
      </w:tblGrid>
      <w:tr w:rsidR="000C1E2C" w:rsidRPr="00D7772A" w:rsidTr="002D1400">
        <w:trPr>
          <w:trHeight w:hRule="exact" w:val="461"/>
        </w:trPr>
        <w:tc>
          <w:tcPr>
            <w:tcW w:w="3299" w:type="dxa"/>
            <w:shd w:val="clear" w:color="auto" w:fill="033466"/>
            <w:vAlign w:val="center"/>
          </w:tcPr>
          <w:p w:rsidR="000C1E2C" w:rsidRPr="0082238B" w:rsidRDefault="000C1E2C" w:rsidP="00250BC6">
            <w:pPr>
              <w:pStyle w:val="Margindatatitle"/>
              <w:framePr w:w="0" w:wrap="auto" w:vAnchor="margin" w:hAnchor="text" w:xAlign="left" w:yAlign="inline"/>
              <w:rPr>
                <w:lang w:val="fi-FI"/>
              </w:rPr>
            </w:pPr>
            <w:r>
              <w:rPr>
                <w:lang w:val="fi-FI"/>
              </w:rPr>
              <w:t>Kulutuskorin hintojen muutos</w:t>
            </w:r>
            <w:r w:rsidR="002D1400">
              <w:rPr>
                <w:lang w:val="fi-FI"/>
              </w:rPr>
              <w:t xml:space="preserve"> 2018</w:t>
            </w:r>
          </w:p>
        </w:tc>
      </w:tr>
      <w:tr w:rsidR="000C1E2C" w:rsidRPr="003E720F" w:rsidTr="002D1400">
        <w:trPr>
          <w:trHeight w:val="655"/>
        </w:trPr>
        <w:tc>
          <w:tcPr>
            <w:tcW w:w="3299" w:type="dxa"/>
            <w:shd w:val="clear" w:color="auto" w:fill="F3F3F3"/>
            <w:tcMar>
              <w:top w:w="28" w:type="dxa"/>
              <w:bottom w:w="28" w:type="dxa"/>
            </w:tcMar>
          </w:tcPr>
          <w:tbl>
            <w:tblPr>
              <w:tblStyle w:val="MediumShading2-Accent11"/>
              <w:tblW w:w="0" w:type="auto"/>
              <w:tblInd w:w="1" w:type="dxa"/>
              <w:tblLayout w:type="fixed"/>
              <w:tblLook w:val="04A0" w:firstRow="1" w:lastRow="0" w:firstColumn="1" w:lastColumn="0" w:noHBand="0" w:noVBand="1"/>
            </w:tblPr>
            <w:tblGrid>
              <w:gridCol w:w="1099"/>
              <w:gridCol w:w="909"/>
              <w:gridCol w:w="429"/>
              <w:gridCol w:w="144"/>
              <w:gridCol w:w="573"/>
              <w:gridCol w:w="143"/>
            </w:tblGrid>
            <w:tr w:rsidR="000C1E2C" w:rsidRPr="003E720F" w:rsidTr="002D1400">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099" w:type="dxa"/>
                </w:tcPr>
                <w:p w:rsidR="000C1E2C" w:rsidRDefault="000C1E2C" w:rsidP="00250BC6">
                  <w:pPr>
                    <w:pStyle w:val="Margindataholder"/>
                    <w:framePr w:w="0" w:hSpace="180" w:wrap="around" w:x="8328" w:y="717"/>
                    <w:rPr>
                      <w:lang w:val="fi-FI"/>
                    </w:rPr>
                  </w:pPr>
                  <w:r>
                    <w:rPr>
                      <w:lang w:val="fi-FI"/>
                    </w:rPr>
                    <w:t>Ryhmä</w:t>
                  </w:r>
                </w:p>
              </w:tc>
              <w:tc>
                <w:tcPr>
                  <w:tcW w:w="1338" w:type="dxa"/>
                  <w:gridSpan w:val="2"/>
                </w:tcPr>
                <w:p w:rsidR="002D1400" w:rsidRDefault="002D1400" w:rsidP="00250BC6">
                  <w:pPr>
                    <w:pStyle w:val="Margindataholder"/>
                    <w:framePr w:w="0" w:hSpace="180" w:wrap="around" w:x="8328" w:y="717"/>
                    <w:ind w:left="365" w:right="-250"/>
                    <w:cnfStyle w:val="100000000000" w:firstRow="1" w:lastRow="0" w:firstColumn="0" w:lastColumn="0" w:oddVBand="0" w:evenVBand="0" w:oddHBand="0" w:evenHBand="0" w:firstRowFirstColumn="0" w:firstRowLastColumn="0" w:lastRowFirstColumn="0" w:lastRowLastColumn="0"/>
                    <w:rPr>
                      <w:lang w:val="fi-FI"/>
                    </w:rPr>
                  </w:pPr>
                  <w:r>
                    <w:rPr>
                      <w:lang w:val="fi-FI"/>
                    </w:rPr>
                    <w:t xml:space="preserve">Osuus </w:t>
                  </w:r>
                </w:p>
                <w:p w:rsidR="000C1E2C" w:rsidRDefault="002D1400" w:rsidP="00250BC6">
                  <w:pPr>
                    <w:pStyle w:val="Margindataholder"/>
                    <w:framePr w:w="0" w:hSpace="180" w:wrap="around" w:x="8328" w:y="717"/>
                    <w:ind w:left="365" w:right="-250"/>
                    <w:cnfStyle w:val="100000000000" w:firstRow="1" w:lastRow="0" w:firstColumn="0" w:lastColumn="0" w:oddVBand="0" w:evenVBand="0" w:oddHBand="0" w:evenHBand="0" w:firstRowFirstColumn="0" w:firstRowLastColumn="0" w:lastRowFirstColumn="0" w:lastRowLastColumn="0"/>
                    <w:rPr>
                      <w:lang w:val="fi-FI"/>
                    </w:rPr>
                  </w:pPr>
                  <w:r>
                    <w:rPr>
                      <w:lang w:val="fi-FI"/>
                    </w:rPr>
                    <w:t>%</w:t>
                  </w:r>
                </w:p>
              </w:tc>
              <w:tc>
                <w:tcPr>
                  <w:tcW w:w="860" w:type="dxa"/>
                  <w:gridSpan w:val="3"/>
                </w:tcPr>
                <w:p w:rsidR="000C1E2C" w:rsidRDefault="002D1400" w:rsidP="002D1400">
                  <w:pPr>
                    <w:pStyle w:val="Margindataholder"/>
                    <w:framePr w:w="0" w:hSpace="180" w:wrap="around" w:x="8328" w:y="717"/>
                    <w:cnfStyle w:val="100000000000" w:firstRow="1" w:lastRow="0" w:firstColumn="0" w:lastColumn="0" w:oddVBand="0" w:evenVBand="0" w:oddHBand="0" w:evenHBand="0" w:firstRowFirstColumn="0" w:firstRowLastColumn="0" w:lastRowFirstColumn="0" w:lastRowLastColumn="0"/>
                    <w:rPr>
                      <w:lang w:val="fi-FI"/>
                    </w:rPr>
                  </w:pPr>
                  <w:r>
                    <w:rPr>
                      <w:lang w:val="fi-FI"/>
                    </w:rPr>
                    <w:t>M</w:t>
                  </w:r>
                  <w:r w:rsidR="000C1E2C">
                    <w:rPr>
                      <w:lang w:val="fi-FI"/>
                    </w:rPr>
                    <w:t xml:space="preserve">uutos% </w:t>
                  </w:r>
                </w:p>
              </w:tc>
            </w:tr>
            <w:tr w:rsidR="000C1E2C" w:rsidRPr="003E720F" w:rsidTr="002D1400">
              <w:trPr>
                <w:gridAfter w:val="1"/>
                <w:cnfStyle w:val="000000100000" w:firstRow="0" w:lastRow="0" w:firstColumn="0" w:lastColumn="0" w:oddVBand="0" w:evenVBand="0" w:oddHBand="1" w:evenHBand="0" w:firstRowFirstColumn="0" w:firstRowLastColumn="0" w:lastRowFirstColumn="0" w:lastRowLastColumn="0"/>
                <w:wAfter w:w="143" w:type="dxa"/>
                <w:trHeight w:val="159"/>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Elintarvikkeet</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13</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1,9</w:t>
                  </w:r>
                </w:p>
              </w:tc>
            </w:tr>
            <w:tr w:rsidR="000C1E2C" w:rsidRPr="003E720F" w:rsidTr="002D1400">
              <w:trPr>
                <w:gridAfter w:val="1"/>
                <w:wAfter w:w="143" w:type="dxa"/>
                <w:trHeight w:val="173"/>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Alkoholijuomat ja tupakka</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5</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6,2</w:t>
                  </w:r>
                </w:p>
              </w:tc>
            </w:tr>
            <w:tr w:rsidR="000C1E2C" w:rsidRPr="003E720F" w:rsidTr="002D1400">
              <w:trPr>
                <w:gridAfter w:val="1"/>
                <w:cnfStyle w:val="000000100000" w:firstRow="0" w:lastRow="0" w:firstColumn="0" w:lastColumn="0" w:oddVBand="0" w:evenVBand="0" w:oddHBand="1" w:evenHBand="0" w:firstRowFirstColumn="0" w:firstRowLastColumn="0" w:lastRowFirstColumn="0" w:lastRowLastColumn="0"/>
                <w:wAfter w:w="143" w:type="dxa"/>
                <w:trHeight w:val="173"/>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Vaatteet ja jalkineet</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5</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-1,2</w:t>
                  </w:r>
                </w:p>
              </w:tc>
            </w:tr>
            <w:tr w:rsidR="000C1E2C" w:rsidRPr="003E720F" w:rsidTr="002D1400">
              <w:trPr>
                <w:gridAfter w:val="1"/>
                <w:wAfter w:w="143" w:type="dxa"/>
                <w:trHeight w:val="173"/>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Asuminen ja energia</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25</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1,6</w:t>
                  </w:r>
                </w:p>
              </w:tc>
            </w:tr>
            <w:tr w:rsidR="000C1E2C" w:rsidRPr="003E720F" w:rsidTr="002D1400">
              <w:trPr>
                <w:gridAfter w:val="1"/>
                <w:cnfStyle w:val="000000100000" w:firstRow="0" w:lastRow="0" w:firstColumn="0" w:lastColumn="0" w:oddVBand="0" w:evenVBand="0" w:oddHBand="1" w:evenHBand="0" w:firstRowFirstColumn="0" w:firstRowLastColumn="0" w:lastRowFirstColumn="0" w:lastRowLastColumn="0"/>
                <w:wAfter w:w="143" w:type="dxa"/>
                <w:trHeight w:val="159"/>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Kodin kalusteet, koneet</w:t>
                  </w:r>
                </w:p>
              </w:tc>
              <w:tc>
                <w:tcPr>
                  <w:tcW w:w="573" w:type="dxa"/>
                  <w:gridSpan w:val="2"/>
                </w:tcPr>
                <w:p w:rsidR="000C1E2C" w:rsidRDefault="000C1E2C" w:rsidP="00250BC6">
                  <w:pPr>
                    <w:pStyle w:val="Margindataholder"/>
                    <w:framePr w:w="0" w:hSpace="180" w:wrap="around" w:x="8328" w:y="717"/>
                    <w:tabs>
                      <w:tab w:val="left" w:pos="459"/>
                    </w:tabs>
                    <w:ind w:right="18"/>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 xml:space="preserve">5 </w:t>
                  </w:r>
                </w:p>
              </w:tc>
              <w:tc>
                <w:tcPr>
                  <w:tcW w:w="573" w:type="dxa"/>
                </w:tcPr>
                <w:p w:rsidR="000C1E2C" w:rsidRDefault="002D1400" w:rsidP="00250BC6">
                  <w:pPr>
                    <w:pStyle w:val="Margindataholder"/>
                    <w:framePr w:w="0" w:hSpace="180" w:wrap="around" w:x="8328" w:y="717"/>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-0,8</w:t>
                  </w:r>
                </w:p>
              </w:tc>
            </w:tr>
            <w:tr w:rsidR="000C1E2C" w:rsidRPr="003E720F" w:rsidTr="002D1400">
              <w:trPr>
                <w:gridAfter w:val="1"/>
                <w:wAfter w:w="143" w:type="dxa"/>
                <w:trHeight w:val="173"/>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Terveys</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5</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1,2</w:t>
                  </w:r>
                </w:p>
              </w:tc>
            </w:tr>
            <w:tr w:rsidR="000C1E2C" w:rsidRPr="003E720F" w:rsidTr="002D1400">
              <w:trPr>
                <w:gridAfter w:val="1"/>
                <w:cnfStyle w:val="000000100000" w:firstRow="0" w:lastRow="0" w:firstColumn="0" w:lastColumn="0" w:oddVBand="0" w:evenVBand="0" w:oddHBand="1" w:evenHBand="0" w:firstRowFirstColumn="0" w:firstRowLastColumn="0" w:lastRowFirstColumn="0" w:lastRowLastColumn="0"/>
                <w:wAfter w:w="143" w:type="dxa"/>
                <w:trHeight w:val="173"/>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Liikenne</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14</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0,9</w:t>
                  </w:r>
                </w:p>
              </w:tc>
            </w:tr>
            <w:tr w:rsidR="000C1E2C" w:rsidRPr="003E720F" w:rsidTr="002D1400">
              <w:trPr>
                <w:gridAfter w:val="1"/>
                <w:wAfter w:w="143" w:type="dxa"/>
                <w:trHeight w:val="173"/>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Tietoliikenne</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2</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-2,5</w:t>
                  </w:r>
                </w:p>
              </w:tc>
            </w:tr>
            <w:tr w:rsidR="000C1E2C" w:rsidRPr="003E720F" w:rsidTr="002D1400">
              <w:trPr>
                <w:gridAfter w:val="1"/>
                <w:cnfStyle w:val="000000100000" w:firstRow="0" w:lastRow="0" w:firstColumn="0" w:lastColumn="0" w:oddVBand="0" w:evenVBand="0" w:oddHBand="1" w:evenHBand="0" w:firstRowFirstColumn="0" w:firstRowLastColumn="0" w:lastRowFirstColumn="0" w:lastRowLastColumn="0"/>
                <w:wAfter w:w="143" w:type="dxa"/>
                <w:trHeight w:val="159"/>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Kulttuuri ja vapaa-aika</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11</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-0,1</w:t>
                  </w:r>
                </w:p>
              </w:tc>
            </w:tr>
            <w:tr w:rsidR="000C1E2C" w:rsidRPr="003E720F" w:rsidTr="002D1400">
              <w:trPr>
                <w:gridAfter w:val="1"/>
                <w:wAfter w:w="143" w:type="dxa"/>
                <w:trHeight w:val="173"/>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Hotellit, ravintolat</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7</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2,4</w:t>
                  </w:r>
                </w:p>
              </w:tc>
            </w:tr>
            <w:tr w:rsidR="000C1E2C" w:rsidRPr="003E720F" w:rsidTr="002D1400">
              <w:trPr>
                <w:gridAfter w:val="1"/>
                <w:cnfStyle w:val="000000100000" w:firstRow="0" w:lastRow="0" w:firstColumn="0" w:lastColumn="0" w:oddVBand="0" w:evenVBand="0" w:oddHBand="1" w:evenHBand="0" w:firstRowFirstColumn="0" w:firstRowLastColumn="0" w:lastRowFirstColumn="0" w:lastRowLastColumn="0"/>
                <w:wAfter w:w="143" w:type="dxa"/>
                <w:trHeight w:val="159"/>
              </w:trPr>
              <w:tc>
                <w:tcPr>
                  <w:cnfStyle w:val="001000000000" w:firstRow="0" w:lastRow="0" w:firstColumn="1" w:lastColumn="0" w:oddVBand="0" w:evenVBand="0" w:oddHBand="0" w:evenHBand="0" w:firstRowFirstColumn="0" w:firstRowLastColumn="0" w:lastRowFirstColumn="0" w:lastRowLastColumn="0"/>
                  <w:tcW w:w="2008" w:type="dxa"/>
                  <w:gridSpan w:val="2"/>
                </w:tcPr>
                <w:p w:rsidR="000C1E2C" w:rsidRDefault="000C1E2C" w:rsidP="00250BC6">
                  <w:pPr>
                    <w:pStyle w:val="Margindataholder"/>
                    <w:framePr w:w="0" w:hSpace="180" w:wrap="around" w:x="8328" w:y="717"/>
                    <w:jc w:val="left"/>
                    <w:rPr>
                      <w:lang w:val="fi-FI"/>
                    </w:rPr>
                  </w:pPr>
                  <w:r>
                    <w:rPr>
                      <w:lang w:val="fi-FI"/>
                    </w:rPr>
                    <w:t>Muut tavarat ja palvelut</w:t>
                  </w:r>
                </w:p>
              </w:tc>
              <w:tc>
                <w:tcPr>
                  <w:tcW w:w="573" w:type="dxa"/>
                  <w:gridSpan w:val="2"/>
                </w:tcPr>
                <w:p w:rsidR="000C1E2C" w:rsidRDefault="002D1400" w:rsidP="00250BC6">
                  <w:pPr>
                    <w:pStyle w:val="Margindataholder"/>
                    <w:framePr w:w="0" w:hSpace="180" w:wrap="around" w:x="8328" w:y="717"/>
                    <w:tabs>
                      <w:tab w:val="left" w:pos="459"/>
                    </w:tabs>
                    <w:ind w:right="18"/>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8</w:t>
                  </w:r>
                  <w:r w:rsidR="000C1E2C">
                    <w:rPr>
                      <w:lang w:val="fi-FI"/>
                    </w:rPr>
                    <w:t xml:space="preserve"> </w:t>
                  </w:r>
                </w:p>
              </w:tc>
              <w:tc>
                <w:tcPr>
                  <w:tcW w:w="573" w:type="dxa"/>
                </w:tcPr>
                <w:p w:rsidR="000C1E2C" w:rsidRDefault="002D1400" w:rsidP="00250BC6">
                  <w:pPr>
                    <w:pStyle w:val="Margindataholder"/>
                    <w:framePr w:w="0" w:hSpace="180" w:wrap="around" w:x="8328" w:y="717"/>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-0,6</w:t>
                  </w:r>
                </w:p>
              </w:tc>
            </w:tr>
          </w:tbl>
          <w:p w:rsidR="000C1E2C" w:rsidRPr="002D1400" w:rsidRDefault="002D1400" w:rsidP="002D1400">
            <w:pPr>
              <w:rPr>
                <w:sz w:val="14"/>
                <w:szCs w:val="14"/>
                <w:lang w:val="fi-FI"/>
              </w:rPr>
            </w:pPr>
            <w:r w:rsidRPr="002D1400">
              <w:rPr>
                <w:sz w:val="14"/>
                <w:szCs w:val="14"/>
                <w:lang w:val="fi-FI"/>
              </w:rPr>
              <w:t>Lähde: Tilastokeskus</w:t>
            </w:r>
            <w:r w:rsidR="000C1E2C" w:rsidRPr="006D1F2A">
              <w:rPr>
                <w:noProof/>
              </w:rPr>
              <mc:AlternateContent>
                <mc:Choice Requires="wps">
                  <w:drawing>
                    <wp:anchor distT="45720" distB="45720" distL="114300" distR="114300" simplePos="0" relativeHeight="251668480" behindDoc="0" locked="0" layoutInCell="1" allowOverlap="1" wp14:anchorId="335CD0C3" wp14:editId="0AC18F33">
                      <wp:simplePos x="0" y="0"/>
                      <wp:positionH relativeFrom="column">
                        <wp:posOffset>47569</wp:posOffset>
                      </wp:positionH>
                      <wp:positionV relativeFrom="paragraph">
                        <wp:posOffset>95923</wp:posOffset>
                      </wp:positionV>
                      <wp:extent cx="1958454"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454" cy="1404620"/>
                              </a:xfrm>
                              <a:prstGeom prst="rect">
                                <a:avLst/>
                              </a:prstGeom>
                              <a:noFill/>
                              <a:ln w="9525">
                                <a:noFill/>
                                <a:miter lim="800000"/>
                                <a:headEnd/>
                                <a:tailEnd/>
                              </a:ln>
                            </wps:spPr>
                            <wps:txbx>
                              <w:txbxContent>
                                <w:p w:rsidR="000C1E2C" w:rsidRPr="006D1F2A" w:rsidRDefault="000C1E2C" w:rsidP="000C1E2C">
                                  <w:pPr>
                                    <w:rPr>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5CD0C3" id="_x0000_t202" coordsize="21600,21600" o:spt="202" path="m,l,21600r21600,l21600,xe">
                      <v:stroke joinstyle="miter"/>
                      <v:path gradientshapeok="t" o:connecttype="rect"/>
                    </v:shapetype>
                    <v:shape id="Text Box 2" o:spid="_x0000_s1026" type="#_x0000_t202" style="position:absolute;margin-left:3.75pt;margin-top:7.55pt;width:154.2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" filled="f" stroked="f">
                      <v:textbox style="mso-fit-shape-to-text:t">
                        <w:txbxContent>
                          <w:p w:rsidR="000C1E2C" w:rsidRPr="006D1F2A" w:rsidRDefault="000C1E2C" w:rsidP="000C1E2C">
                            <w:pPr>
                              <w:rPr>
                                <w:sz w:val="14"/>
                                <w:szCs w:val="14"/>
                              </w:rPr>
                            </w:pPr>
                          </w:p>
                        </w:txbxContent>
                      </v:textbox>
                    </v:shape>
                  </w:pict>
                </mc:Fallback>
              </mc:AlternateContent>
            </w:r>
          </w:p>
        </w:tc>
      </w:tr>
    </w:tbl>
    <w:p w:rsidR="007F5522" w:rsidRDefault="00F10424" w:rsidP="000C1E2C">
      <w:pPr>
        <w:pStyle w:val="Leipis"/>
        <w:rPr>
          <w:rFonts w:ascii="Danske Text" w:hAnsi="Danske Text"/>
        </w:rPr>
      </w:pPr>
      <w:r>
        <w:rPr>
          <w:rFonts w:ascii="Danske Text" w:hAnsi="Danske Text"/>
        </w:rPr>
        <w:t xml:space="preserve">Kotitalouksien näkökulmasta </w:t>
      </w:r>
      <w:r w:rsidR="007F5522">
        <w:rPr>
          <w:rFonts w:ascii="Danske Text" w:hAnsi="Danske Text"/>
        </w:rPr>
        <w:t xml:space="preserve">hidasta palkkakehitystä </w:t>
      </w:r>
      <w:r w:rsidR="00BF0972">
        <w:rPr>
          <w:rFonts w:ascii="Danske Text" w:hAnsi="Danske Text"/>
        </w:rPr>
        <w:t xml:space="preserve">on </w:t>
      </w:r>
      <w:r w:rsidR="007F5522">
        <w:rPr>
          <w:rFonts w:ascii="Danske Text" w:hAnsi="Danske Text"/>
        </w:rPr>
        <w:t>viime vuosina</w:t>
      </w:r>
      <w:r w:rsidR="002E3F10">
        <w:rPr>
          <w:rFonts w:ascii="Danske Text" w:hAnsi="Danske Text"/>
        </w:rPr>
        <w:t xml:space="preserve"> tasapainottanut kuluttajahintojen </w:t>
      </w:r>
      <w:r w:rsidR="00601D77">
        <w:rPr>
          <w:rFonts w:ascii="Danske Text" w:hAnsi="Danske Text"/>
        </w:rPr>
        <w:t xml:space="preserve">vähäinen nousu. </w:t>
      </w:r>
      <w:r w:rsidR="000C1E2C">
        <w:rPr>
          <w:rFonts w:ascii="Danske Text" w:hAnsi="Danske Text"/>
        </w:rPr>
        <w:t>Vuonn</w:t>
      </w:r>
      <w:r w:rsidR="00601D77">
        <w:rPr>
          <w:rFonts w:ascii="Danske Text" w:hAnsi="Danske Text"/>
        </w:rPr>
        <w:t>a 2015 hinnat jopa laskivat, mit</w:t>
      </w:r>
      <w:r w:rsidR="000C1E2C">
        <w:rPr>
          <w:rFonts w:ascii="Danske Text" w:hAnsi="Danske Text"/>
        </w:rPr>
        <w:t xml:space="preserve">ä </w:t>
      </w:r>
      <w:r w:rsidR="007F5522">
        <w:rPr>
          <w:rFonts w:ascii="Danske Text" w:hAnsi="Danske Text"/>
        </w:rPr>
        <w:t xml:space="preserve">ei </w:t>
      </w:r>
      <w:r w:rsidR="00601D77">
        <w:rPr>
          <w:rFonts w:ascii="Danske Text" w:hAnsi="Danske Text"/>
        </w:rPr>
        <w:t>vuositasolla</w:t>
      </w:r>
      <w:r w:rsidR="007F5522">
        <w:rPr>
          <w:rFonts w:ascii="Danske Text" w:hAnsi="Danske Text"/>
        </w:rPr>
        <w:t xml:space="preserve"> ole </w:t>
      </w:r>
      <w:r w:rsidR="00601D77">
        <w:rPr>
          <w:rFonts w:ascii="Danske Text" w:hAnsi="Danske Text"/>
        </w:rPr>
        <w:t>tapahtunut</w:t>
      </w:r>
      <w:r w:rsidR="007F5522">
        <w:rPr>
          <w:rFonts w:ascii="Danske Text" w:hAnsi="Danske Text"/>
        </w:rPr>
        <w:t xml:space="preserve"> kertaakaan 1950-luvun jälkeen. Viime vuonna </w:t>
      </w:r>
      <w:r w:rsidR="00601D77">
        <w:rPr>
          <w:rFonts w:ascii="Danske Text" w:hAnsi="Danske Text"/>
        </w:rPr>
        <w:t xml:space="preserve">inflaatio </w:t>
      </w:r>
      <w:r w:rsidR="007F5522">
        <w:rPr>
          <w:rFonts w:ascii="Danske Text" w:hAnsi="Danske Text"/>
        </w:rPr>
        <w:t xml:space="preserve">palaili </w:t>
      </w:r>
      <w:r w:rsidR="00506AF0">
        <w:rPr>
          <w:rFonts w:ascii="Danske Text" w:hAnsi="Danske Text"/>
        </w:rPr>
        <w:t>hiljalleen</w:t>
      </w:r>
      <w:r w:rsidR="007F5522">
        <w:rPr>
          <w:rFonts w:ascii="Danske Text" w:hAnsi="Danske Text"/>
        </w:rPr>
        <w:t xml:space="preserve"> </w:t>
      </w:r>
      <w:r w:rsidR="00601D77">
        <w:rPr>
          <w:rFonts w:ascii="Danske Text" w:hAnsi="Danske Text"/>
        </w:rPr>
        <w:t xml:space="preserve">kohti tavanomaisempaa tahtia. </w:t>
      </w:r>
      <w:r w:rsidR="007F5522">
        <w:rPr>
          <w:rFonts w:ascii="Danske Text" w:hAnsi="Danske Text"/>
        </w:rPr>
        <w:t xml:space="preserve">Suomen inflaatio oli silti koko vuoden euroalueen keskimääräistä vauhtia alhaisempaa, joten hintatasojen ero tasoittui hieman. </w:t>
      </w:r>
      <w:r w:rsidR="00601D77">
        <w:rPr>
          <w:rFonts w:ascii="Danske Text" w:hAnsi="Danske Text"/>
        </w:rPr>
        <w:t>Kuluvan vuoden osalta enn</w:t>
      </w:r>
      <w:r w:rsidR="007F5522">
        <w:rPr>
          <w:rFonts w:ascii="Danske Text" w:hAnsi="Danske Text"/>
        </w:rPr>
        <w:t>ustamme kuluttajahinnoille yhä melko verkkaista 1,5 prosentin nousutahtia.</w:t>
      </w:r>
    </w:p>
    <w:p w:rsidR="00A35F7D" w:rsidRDefault="00E65BF0" w:rsidP="000C1E2C">
      <w:pPr>
        <w:pStyle w:val="Leipis"/>
        <w:rPr>
          <w:rFonts w:ascii="Danske Text" w:hAnsi="Danske Text"/>
        </w:rPr>
      </w:pPr>
      <w:r>
        <w:rPr>
          <w:rFonts w:ascii="Danske Text" w:hAnsi="Danske Text"/>
        </w:rPr>
        <w:t>Vaikka inflaatio on yhä</w:t>
      </w:r>
      <w:r w:rsidR="006D772F">
        <w:rPr>
          <w:rFonts w:ascii="Danske Text" w:hAnsi="Danske Text"/>
        </w:rPr>
        <w:t xml:space="preserve"> maltillista, ovat kuluttajahinnat kääntyneet laaja-alaisesti nousuun eri tuoteryhmissä. Elintarvikkeiden kolme vuotta jatkunut poikkeuksellinen halpuutusjakso on päättynyt, ja ruuan hinta kasvaa taas noin 2 prosentin vuosivauhtia.</w:t>
      </w:r>
      <w:r w:rsidR="00C7433F">
        <w:rPr>
          <w:rFonts w:ascii="Danske Text" w:hAnsi="Danske Text"/>
        </w:rPr>
        <w:t xml:space="preserve"> Veronkorotukset pitävät myös huolen siitä, että alkoholijuomien ja erityisesti tupakkatuotteiden hinnat pysyvät nousussa</w:t>
      </w:r>
      <w:r w:rsidR="00C44FA6">
        <w:rPr>
          <w:rFonts w:ascii="Danske Text" w:hAnsi="Danske Text"/>
        </w:rPr>
        <w:t>. Asumisen hinta on kestonousija</w:t>
      </w:r>
      <w:r w:rsidR="00C7433F">
        <w:rPr>
          <w:rFonts w:ascii="Danske Text" w:hAnsi="Danske Text"/>
        </w:rPr>
        <w:t xml:space="preserve">, mutta </w:t>
      </w:r>
      <w:r w:rsidR="00C44FA6">
        <w:rPr>
          <w:rFonts w:ascii="Danske Text" w:hAnsi="Danske Text"/>
        </w:rPr>
        <w:t>vuonna 2019 kasvu</w:t>
      </w:r>
      <w:r w:rsidR="00C7433F">
        <w:rPr>
          <w:rFonts w:ascii="Danske Text" w:hAnsi="Danske Text"/>
        </w:rPr>
        <w:t xml:space="preserve"> on viime vuosia hitaampaa</w:t>
      </w:r>
      <w:r w:rsidR="00C44FA6">
        <w:rPr>
          <w:rFonts w:ascii="Danske Text" w:hAnsi="Danske Text"/>
        </w:rPr>
        <w:t xml:space="preserve"> muun muassa vuokrien nousun hidastuessa</w:t>
      </w:r>
      <w:r w:rsidR="00C7433F">
        <w:rPr>
          <w:rFonts w:ascii="Danske Text" w:hAnsi="Danske Text"/>
        </w:rPr>
        <w:t>.</w:t>
      </w:r>
      <w:r w:rsidR="00935470">
        <w:rPr>
          <w:rFonts w:ascii="Danske Text" w:hAnsi="Danske Text"/>
        </w:rPr>
        <w:t xml:space="preserve"> </w:t>
      </w:r>
      <w:r w:rsidR="00C44FA6">
        <w:rPr>
          <w:rFonts w:ascii="Danske Text" w:hAnsi="Danske Text"/>
        </w:rPr>
        <w:t xml:space="preserve">Palveluista </w:t>
      </w:r>
      <w:r w:rsidR="004576B7">
        <w:rPr>
          <w:rFonts w:ascii="Danske Text" w:hAnsi="Danske Text"/>
        </w:rPr>
        <w:t xml:space="preserve">hotelli- ja ravintola-ala jatkaa melko tasaisessa reilun parin prosentin kasvussa. </w:t>
      </w:r>
      <w:r w:rsidR="00C44FA6">
        <w:rPr>
          <w:rFonts w:ascii="Danske Text" w:hAnsi="Danske Text"/>
        </w:rPr>
        <w:t>Keväästä alkaen on</w:t>
      </w:r>
      <w:r w:rsidR="004576B7">
        <w:rPr>
          <w:rFonts w:ascii="Danske Text" w:hAnsi="Danske Text"/>
        </w:rPr>
        <w:t xml:space="preserve"> bensiinin</w:t>
      </w:r>
      <w:r w:rsidR="00C44FA6">
        <w:rPr>
          <w:rFonts w:ascii="Danske Text" w:hAnsi="Danske Text"/>
        </w:rPr>
        <w:t xml:space="preserve"> hinta kiihdyttänyt inflaatiota tuntuvasti. Syksyllä </w:t>
      </w:r>
      <w:r w:rsidR="00935470">
        <w:rPr>
          <w:rFonts w:ascii="Danske Text" w:hAnsi="Danske Text"/>
        </w:rPr>
        <w:t>öljyn</w:t>
      </w:r>
      <w:r w:rsidR="00C44FA6">
        <w:rPr>
          <w:rFonts w:ascii="Danske Text" w:hAnsi="Danske Text"/>
        </w:rPr>
        <w:t xml:space="preserve"> </w:t>
      </w:r>
      <w:r w:rsidR="00935470">
        <w:rPr>
          <w:rFonts w:ascii="Danske Text" w:hAnsi="Danske Text"/>
        </w:rPr>
        <w:t>maailmanmarkkinahinta</w:t>
      </w:r>
      <w:r w:rsidR="00506AF0">
        <w:rPr>
          <w:rFonts w:ascii="Danske Text" w:hAnsi="Danske Text"/>
        </w:rPr>
        <w:t xml:space="preserve"> tippui kuitenkin</w:t>
      </w:r>
      <w:r w:rsidR="00C44FA6">
        <w:rPr>
          <w:rFonts w:ascii="Danske Text" w:hAnsi="Danske Text"/>
        </w:rPr>
        <w:t>, mikä</w:t>
      </w:r>
      <w:r w:rsidR="00935470">
        <w:rPr>
          <w:rFonts w:ascii="Danske Text" w:hAnsi="Danske Text"/>
        </w:rPr>
        <w:t xml:space="preserve"> tulee jatkossa jarruttamaan polttonesteiden hintakehitystä.</w:t>
      </w:r>
    </w:p>
    <w:tbl>
      <w:tblPr>
        <w:tblpPr w:leftFromText="180" w:rightFromText="180" w:vertAnchor="text" w:horzAnchor="page" w:tblpX="8351" w:tblpY="1763"/>
        <w:tblW w:w="0" w:type="auto"/>
        <w:shd w:val="clear" w:color="auto" w:fill="F3F3F3"/>
        <w:tblLayout w:type="fixed"/>
        <w:tblCellMar>
          <w:left w:w="0" w:type="dxa"/>
          <w:right w:w="0" w:type="dxa"/>
        </w:tblCellMar>
        <w:tblLook w:val="01E0" w:firstRow="1" w:lastRow="1" w:firstColumn="1" w:lastColumn="1" w:noHBand="0" w:noVBand="0"/>
      </w:tblPr>
      <w:tblGrid>
        <w:gridCol w:w="3231"/>
      </w:tblGrid>
      <w:tr w:rsidR="00061F7E" w:rsidRPr="00E15F94" w:rsidTr="00061F7E">
        <w:trPr>
          <w:trHeight w:hRule="exact" w:val="454"/>
        </w:trPr>
        <w:tc>
          <w:tcPr>
            <w:tcW w:w="3231" w:type="dxa"/>
            <w:shd w:val="clear" w:color="auto" w:fill="033466"/>
            <w:vAlign w:val="center"/>
          </w:tcPr>
          <w:p w:rsidR="00061F7E" w:rsidRPr="0082238B" w:rsidRDefault="00061F7E" w:rsidP="00061F7E">
            <w:pPr>
              <w:pStyle w:val="Margindatatitle"/>
              <w:framePr w:w="0" w:wrap="auto" w:vAnchor="margin" w:hAnchor="text" w:xAlign="left" w:yAlign="inline"/>
              <w:ind w:left="0"/>
              <w:rPr>
                <w:lang w:val="fi-FI"/>
              </w:rPr>
            </w:pPr>
            <w:r>
              <w:rPr>
                <w:lang w:val="fi-FI"/>
              </w:rPr>
              <w:lastRenderedPageBreak/>
              <w:t>Asumisen kustannuskehitys</w:t>
            </w:r>
          </w:p>
        </w:tc>
      </w:tr>
      <w:tr w:rsidR="00061F7E" w:rsidRPr="00E15F94" w:rsidTr="00061F7E">
        <w:trPr>
          <w:trHeight w:val="2353"/>
        </w:trPr>
        <w:tc>
          <w:tcPr>
            <w:tcW w:w="3231" w:type="dxa"/>
            <w:shd w:val="clear" w:color="auto" w:fill="F3F3F3"/>
            <w:tcMar>
              <w:top w:w="28" w:type="dxa"/>
              <w:bottom w:w="28" w:type="dxa"/>
            </w:tcMar>
          </w:tcPr>
          <w:p w:rsidR="00061F7E" w:rsidRPr="0082238B" w:rsidRDefault="00555D0F" w:rsidP="00061F7E">
            <w:pPr>
              <w:pStyle w:val="Margindataholder"/>
              <w:framePr w:w="0" w:wrap="auto" w:vAnchor="margin" w:hAnchor="text" w:xAlign="left" w:yAlign="inline"/>
              <w:rPr>
                <w:lang w:val="fi-FI"/>
              </w:rPr>
            </w:pPr>
            <w:r>
              <w:object w:dxaOrig="9000" w:dyaOrig="7500">
                <v:shape id="_x0000_i1027" type="#_x0000_t75" style="width:161.1pt;height:134.25pt" o:ole="">
                  <v:imagedata r:id="rId13" o:title=""/>
                </v:shape>
                <o:OLEObject Type="Embed" ProgID="Mbnd.mbnd" ShapeID="_x0000_i1027" DrawAspect="Content" ObjectID="_1609667251" r:id="rId14"/>
              </w:object>
            </w:r>
          </w:p>
        </w:tc>
      </w:tr>
    </w:tbl>
    <w:p w:rsidR="000C1E2C" w:rsidRDefault="00C44FA6" w:rsidP="000C1E2C">
      <w:pPr>
        <w:pStyle w:val="Leipis"/>
        <w:rPr>
          <w:rFonts w:ascii="Danske Text" w:hAnsi="Danske Text"/>
        </w:rPr>
      </w:pPr>
      <w:r>
        <w:rPr>
          <w:rFonts w:ascii="Danske Text" w:hAnsi="Danske Text"/>
        </w:rPr>
        <w:t>Kuluttajah</w:t>
      </w:r>
      <w:r w:rsidR="004576B7">
        <w:rPr>
          <w:rFonts w:ascii="Danske Text" w:hAnsi="Danske Text"/>
        </w:rPr>
        <w:t>innat laskevat tällä hetkellä lähinnä teollisesti tuotetuissa kulutushyödykkeissä kuten vaatteissa sekä ennen kaikkea teknologiseen kehitykseen nojaavissa tuotteissa kuten tietokoneissa ja uusissa autoissa. Kuluttajahintaindeksi pyrkii mittaamaan laatuvakioitua hintaa, ja nopeasti kehittyville tuotteille on</w:t>
      </w:r>
      <w:r w:rsidR="00F10424">
        <w:rPr>
          <w:rFonts w:ascii="Danske Text" w:hAnsi="Danske Text"/>
        </w:rPr>
        <w:t>kin</w:t>
      </w:r>
      <w:r w:rsidR="004576B7">
        <w:rPr>
          <w:rFonts w:ascii="Danske Text" w:hAnsi="Danske Text"/>
        </w:rPr>
        <w:t xml:space="preserve"> tyypilli</w:t>
      </w:r>
      <w:r>
        <w:rPr>
          <w:rFonts w:ascii="Danske Text" w:hAnsi="Danske Text"/>
        </w:rPr>
        <w:t>stä hintojen lasku.</w:t>
      </w:r>
      <w:r w:rsidR="00A35F7D">
        <w:rPr>
          <w:rFonts w:ascii="Danske Text" w:hAnsi="Danske Text"/>
        </w:rPr>
        <w:t xml:space="preserve"> </w:t>
      </w:r>
      <w:r w:rsidR="004576B7">
        <w:rPr>
          <w:rFonts w:ascii="Danske Text" w:hAnsi="Danske Text"/>
        </w:rPr>
        <w:t xml:space="preserve">Eri väestöryhmiä hintojen muutokset voivat kohdella keskimäärin eri tavalla. Eritysesti korkean teknologian tuotteiden vähäisempi rooli kulutuksessa </w:t>
      </w:r>
      <w:r w:rsidR="00A35F7D">
        <w:rPr>
          <w:rFonts w:ascii="Danske Text" w:hAnsi="Danske Text"/>
        </w:rPr>
        <w:t>on johtanut 2000-luvulla siihen</w:t>
      </w:r>
      <w:r w:rsidR="004576B7">
        <w:rPr>
          <w:rFonts w:ascii="Danske Text" w:hAnsi="Danske Text"/>
        </w:rPr>
        <w:t>,</w:t>
      </w:r>
      <w:r w:rsidR="00A35F7D">
        <w:rPr>
          <w:rFonts w:ascii="Danske Text" w:hAnsi="Danske Text"/>
        </w:rPr>
        <w:t xml:space="preserve"> </w:t>
      </w:r>
      <w:r w:rsidR="004576B7">
        <w:rPr>
          <w:rFonts w:ascii="Danske Text" w:hAnsi="Danske Text"/>
        </w:rPr>
        <w:t>ett</w:t>
      </w:r>
      <w:r w:rsidR="00312B1A">
        <w:rPr>
          <w:rFonts w:ascii="Danske Text" w:hAnsi="Danske Text"/>
        </w:rPr>
        <w:t xml:space="preserve">ä vanhustalouksien inflaatio on tyypillisesti ollut jonkin verran </w:t>
      </w:r>
      <w:r w:rsidR="000C1E2C">
        <w:rPr>
          <w:rFonts w:ascii="Danske Text" w:hAnsi="Danske Text"/>
        </w:rPr>
        <w:t xml:space="preserve">muita kotitalouksia korkeammalla. Ruoan ja polttonesteiden hinnan lasku on sen sijaan helpottanut </w:t>
      </w:r>
      <w:r w:rsidR="00312B1A">
        <w:rPr>
          <w:rFonts w:ascii="Danske Text" w:hAnsi="Danske Text"/>
        </w:rPr>
        <w:t xml:space="preserve">välillä </w:t>
      </w:r>
      <w:r w:rsidR="000C1E2C">
        <w:rPr>
          <w:rFonts w:ascii="Danske Text" w:hAnsi="Danske Text"/>
        </w:rPr>
        <w:t xml:space="preserve">erityisesti lapsiperheiden tilannetta. Yleisesti ottaen erot erityyppisten kotitalouksien välillä </w:t>
      </w:r>
      <w:r w:rsidR="00312B1A">
        <w:rPr>
          <w:rFonts w:ascii="Danske Text" w:hAnsi="Danske Text"/>
        </w:rPr>
        <w:t xml:space="preserve">ovat kuitenkin keskimääräisesti </w:t>
      </w:r>
      <w:r w:rsidR="000C1E2C">
        <w:rPr>
          <w:rFonts w:ascii="Danske Text" w:hAnsi="Danske Text"/>
        </w:rPr>
        <w:t xml:space="preserve">pieniä </w:t>
      </w:r>
      <w:r w:rsidR="00F10424">
        <w:rPr>
          <w:rFonts w:ascii="Danske Text" w:hAnsi="Danske Text"/>
        </w:rPr>
        <w:t xml:space="preserve">– yksilölliset erot voivat </w:t>
      </w:r>
      <w:r w:rsidR="000C1E2C">
        <w:rPr>
          <w:rFonts w:ascii="Danske Text" w:hAnsi="Danske Text"/>
        </w:rPr>
        <w:t xml:space="preserve">olla </w:t>
      </w:r>
      <w:r w:rsidR="00F10424">
        <w:rPr>
          <w:rFonts w:ascii="Danske Text" w:hAnsi="Danske Text"/>
        </w:rPr>
        <w:t>selvästi merkittäv</w:t>
      </w:r>
      <w:r w:rsidR="000C1E2C">
        <w:rPr>
          <w:rFonts w:ascii="Danske Text" w:hAnsi="Danske Text"/>
        </w:rPr>
        <w:t>ä</w:t>
      </w:r>
      <w:r w:rsidR="00F10424">
        <w:rPr>
          <w:rFonts w:ascii="Danske Text" w:hAnsi="Danske Text"/>
        </w:rPr>
        <w:t>mpiä</w:t>
      </w:r>
      <w:r w:rsidR="000C1E2C">
        <w:rPr>
          <w:rFonts w:ascii="Danske Text" w:hAnsi="Danske Text"/>
        </w:rPr>
        <w:t xml:space="preserve"> oman kulutuskorin rakenteesta riippuen.</w:t>
      </w:r>
    </w:p>
    <w:p w:rsidR="00294415" w:rsidRDefault="000C1E2C" w:rsidP="00294415">
      <w:pPr>
        <w:pStyle w:val="Leipis"/>
        <w:rPr>
          <w:rFonts w:ascii="Danske Text" w:hAnsi="Danske Text"/>
        </w:rPr>
      </w:pPr>
      <w:r>
        <w:rPr>
          <w:rFonts w:ascii="Danske Text" w:hAnsi="Danske Text"/>
        </w:rPr>
        <w:t>Kausiluontoisuutta hinnoi</w:t>
      </w:r>
      <w:r w:rsidR="00C44FA6">
        <w:rPr>
          <w:rFonts w:ascii="Danske Text" w:hAnsi="Danske Text"/>
        </w:rPr>
        <w:t>ssa näkyy erityisesti vaatteissa ja jalkineissa</w:t>
      </w:r>
      <w:r>
        <w:rPr>
          <w:rFonts w:ascii="Danske Text" w:hAnsi="Danske Text"/>
        </w:rPr>
        <w:t xml:space="preserve"> sekä jossain määrin kodinkoneissa ja kalusteissa: näitä tuotteita kannattaa hankkia tammi- tai heinäkuussa, koska silloin niiden hinnat ovat tyypillisesti selvässä laskussa alennusmyy</w:t>
      </w:r>
      <w:r w:rsidR="00294415">
        <w:rPr>
          <w:rFonts w:ascii="Danske Text" w:hAnsi="Danske Text"/>
        </w:rPr>
        <w:t xml:space="preserve">ntien vuoksi. </w:t>
      </w:r>
      <w:r>
        <w:rPr>
          <w:rFonts w:ascii="Danske Text" w:hAnsi="Danske Text"/>
        </w:rPr>
        <w:t>Viime vuosina on nähty merkittävä ero omistusasujan ja vuokra-asujan kustannuksissa. Omistusasujien kustannukset ovat laskeneet korkojen laskun ja asuntojen hintojen maltillisen keh</w:t>
      </w:r>
      <w:r w:rsidR="00A35F7D">
        <w:rPr>
          <w:rFonts w:ascii="Danske Text" w:hAnsi="Danske Text"/>
        </w:rPr>
        <w:t xml:space="preserve">ityksen myötä. Vuokrat </w:t>
      </w:r>
      <w:r w:rsidR="009C1F22">
        <w:rPr>
          <w:rFonts w:ascii="Danske Text" w:hAnsi="Danske Text"/>
        </w:rPr>
        <w:t xml:space="preserve">ovat sen </w:t>
      </w:r>
      <w:r w:rsidR="00A35F7D">
        <w:rPr>
          <w:rFonts w:ascii="Danske Text" w:hAnsi="Danske Text"/>
        </w:rPr>
        <w:t xml:space="preserve">sijaan </w:t>
      </w:r>
      <w:r w:rsidR="009C1F22">
        <w:rPr>
          <w:rFonts w:ascii="Danske Text" w:hAnsi="Danske Text"/>
        </w:rPr>
        <w:t>nousseet suhdanteista piittaamatta</w:t>
      </w:r>
      <w:r w:rsidR="00A35F7D">
        <w:rPr>
          <w:rFonts w:ascii="Danske Text" w:hAnsi="Danske Text"/>
        </w:rPr>
        <w:t xml:space="preserve">. Jatkossa ero on </w:t>
      </w:r>
      <w:r>
        <w:rPr>
          <w:rFonts w:ascii="Danske Text" w:hAnsi="Danske Text"/>
        </w:rPr>
        <w:t>p</w:t>
      </w:r>
      <w:r w:rsidR="00A35F7D">
        <w:rPr>
          <w:rFonts w:ascii="Danske Text" w:hAnsi="Danske Text"/>
        </w:rPr>
        <w:t xml:space="preserve">ienentymässä, kun </w:t>
      </w:r>
      <w:r w:rsidR="00294415">
        <w:rPr>
          <w:rFonts w:ascii="Danske Text" w:hAnsi="Danske Text"/>
        </w:rPr>
        <w:t>vuokrien nousu</w:t>
      </w:r>
      <w:r w:rsidR="00A35F7D">
        <w:rPr>
          <w:rFonts w:ascii="Danske Text" w:hAnsi="Danske Text"/>
        </w:rPr>
        <w:t>n ennakoidaan hidastuvan</w:t>
      </w:r>
      <w:r w:rsidR="00294415">
        <w:rPr>
          <w:rFonts w:ascii="Danske Text" w:hAnsi="Danske Text"/>
        </w:rPr>
        <w:t>. Omistusasumista ei myöskään ole mielekästä ajatella pelkästään kustannuksien näkökulmasta, koska oleellisempaakin on se, miten asunnon arvo kehittyy.</w:t>
      </w:r>
    </w:p>
    <w:p w:rsidR="000C1E2C" w:rsidRDefault="000C1E2C" w:rsidP="00C44FA6">
      <w:pPr>
        <w:pStyle w:val="Leipis"/>
        <w:rPr>
          <w:rFonts w:ascii="Danske Text" w:hAnsi="Danske Text"/>
        </w:rPr>
      </w:pPr>
      <w:r w:rsidRPr="000C1E2C">
        <w:rPr>
          <w:rFonts w:ascii="Danske Text" w:hAnsi="Danske Text"/>
        </w:rPr>
        <w:t xml:space="preserve">Jatkossa odotamme </w:t>
      </w:r>
      <w:r w:rsidR="00A35F7D">
        <w:rPr>
          <w:rFonts w:ascii="Danske Text" w:hAnsi="Danske Text"/>
        </w:rPr>
        <w:t>kuluttaja</w:t>
      </w:r>
      <w:r w:rsidRPr="000C1E2C">
        <w:rPr>
          <w:rFonts w:ascii="Danske Text" w:hAnsi="Danske Text"/>
        </w:rPr>
        <w:t xml:space="preserve">hintojen </w:t>
      </w:r>
      <w:r w:rsidR="00A35F7D">
        <w:rPr>
          <w:rFonts w:ascii="Danske Text" w:hAnsi="Danske Text"/>
        </w:rPr>
        <w:t xml:space="preserve">keskimääräisen </w:t>
      </w:r>
      <w:r w:rsidRPr="000C1E2C">
        <w:rPr>
          <w:rFonts w:ascii="Danske Text" w:hAnsi="Danske Text"/>
        </w:rPr>
        <w:t xml:space="preserve">nousun </w:t>
      </w:r>
      <w:r w:rsidR="00294415">
        <w:rPr>
          <w:rFonts w:ascii="Danske Text" w:hAnsi="Danske Text"/>
        </w:rPr>
        <w:t xml:space="preserve">pysyttelevän Suomessa 1,5 prosentissa sekä 2019 että 2020. Äärihitaan inflaation ajat ovat takanapäin, mutta toistaiseksi jäädään pidemmän aikavälin keskiarvotahdin alapuolelle. </w:t>
      </w:r>
      <w:r w:rsidRPr="00294415">
        <w:rPr>
          <w:rFonts w:ascii="Danske Text" w:hAnsi="Danske Text"/>
        </w:rPr>
        <w:t>Ölj</w:t>
      </w:r>
      <w:r w:rsidR="00294415">
        <w:rPr>
          <w:rFonts w:ascii="Danske Text" w:hAnsi="Danske Text"/>
        </w:rPr>
        <w:t xml:space="preserve">yn hinnan lasku tuo </w:t>
      </w:r>
      <w:r w:rsidR="00A35F7D">
        <w:rPr>
          <w:rFonts w:ascii="Danske Text" w:hAnsi="Danske Text"/>
        </w:rPr>
        <w:t xml:space="preserve">jatkossa </w:t>
      </w:r>
      <w:r w:rsidR="00294415">
        <w:rPr>
          <w:rFonts w:ascii="Danske Text" w:hAnsi="Danske Text"/>
        </w:rPr>
        <w:t>tukea kotitalouksien ostovoimaan, ensin suoraan bensiinin hinnan kautta</w:t>
      </w:r>
      <w:r w:rsidR="00A35F7D">
        <w:rPr>
          <w:rFonts w:ascii="Danske Text" w:hAnsi="Danske Text"/>
        </w:rPr>
        <w:t>, ja myöhemmin</w:t>
      </w:r>
      <w:r w:rsidR="00294415">
        <w:rPr>
          <w:rFonts w:ascii="Danske Text" w:hAnsi="Danske Text"/>
        </w:rPr>
        <w:t xml:space="preserve"> laaja-alaisempana in</w:t>
      </w:r>
      <w:r w:rsidR="00C44FA6">
        <w:rPr>
          <w:rFonts w:ascii="Danske Text" w:hAnsi="Danske Text"/>
        </w:rPr>
        <w:t>flaatiopaineiden heikkenemisenä.</w:t>
      </w:r>
    </w:p>
    <w:p w:rsidR="0050374E" w:rsidRDefault="0050374E" w:rsidP="00C44FA6">
      <w:pPr>
        <w:pStyle w:val="Leipis"/>
        <w:rPr>
          <w:rFonts w:ascii="Danske Text" w:hAnsi="Danske Text"/>
        </w:rPr>
      </w:pPr>
    </w:p>
    <w:tbl>
      <w:tblPr>
        <w:tblStyle w:val="Placeholder"/>
        <w:tblpPr w:leftFromText="180" w:rightFromText="180" w:vertAnchor="text" w:horzAnchor="margin" w:tblpY="-42"/>
        <w:tblW w:w="6859" w:type="dxa"/>
        <w:tblLayout w:type="fixed"/>
        <w:tblLook w:val="04E0" w:firstRow="1" w:lastRow="1" w:firstColumn="1" w:lastColumn="0" w:noHBand="0" w:noVBand="1"/>
      </w:tblPr>
      <w:tblGrid>
        <w:gridCol w:w="6859"/>
      </w:tblGrid>
      <w:tr w:rsidR="0050374E" w:rsidRPr="007D3DC8" w:rsidTr="00D56F4F">
        <w:trPr>
          <w:cantSplit/>
        </w:trPr>
        <w:tc>
          <w:tcPr>
            <w:tcW w:w="6859" w:type="dxa"/>
          </w:tcPr>
          <w:p w:rsidR="0050374E" w:rsidRPr="007D3DC8" w:rsidRDefault="0050374E" w:rsidP="00D56F4F">
            <w:pPr>
              <w:pStyle w:val="Tabletitle"/>
              <w:rPr>
                <w:lang w:val="fi-FI"/>
              </w:rPr>
            </w:pPr>
            <w:r>
              <w:rPr>
                <w:lang w:val="fi-FI"/>
              </w:rPr>
              <w:lastRenderedPageBreak/>
              <w:t>Kotitalouskysely 2019</w:t>
            </w:r>
          </w:p>
        </w:tc>
      </w:tr>
      <w:tr w:rsidR="0050374E" w:rsidRPr="003E720F" w:rsidTr="00D56F4F">
        <w:trPr>
          <w:cantSplit/>
        </w:trPr>
        <w:tc>
          <w:tcPr>
            <w:tcW w:w="6859" w:type="dxa"/>
          </w:tcPr>
          <w:tbl>
            <w:tblPr>
              <w:tblStyle w:val="TableGrid"/>
              <w:tblW w:w="6860" w:type="dxa"/>
              <w:tblLayout w:type="fixed"/>
              <w:tblLook w:val="06A0" w:firstRow="1" w:lastRow="0" w:firstColumn="1" w:lastColumn="0" w:noHBand="1" w:noVBand="1"/>
            </w:tblPr>
            <w:tblGrid>
              <w:gridCol w:w="6860"/>
            </w:tblGrid>
            <w:tr w:rsidR="0050374E" w:rsidRPr="007D3DC8" w:rsidTr="00D56F4F">
              <w:tc>
                <w:tcPr>
                  <w:tcW w:w="6860" w:type="dxa"/>
                  <w:tcBorders>
                    <w:bottom w:val="single" w:sz="2" w:space="0" w:color="808080"/>
                  </w:tcBorders>
                </w:tcPr>
                <w:p w:rsidR="0050374E" w:rsidRPr="007D3DC8" w:rsidRDefault="0050374E" w:rsidP="00D56F4F">
                  <w:pPr>
                    <w:framePr w:hSpace="180" w:wrap="around" w:vAnchor="text" w:hAnchor="margin" w:y="-42"/>
                    <w:rPr>
                      <w:b/>
                      <w:lang w:val="fi-FI"/>
                    </w:rPr>
                  </w:pPr>
                </w:p>
              </w:tc>
            </w:tr>
            <w:tr w:rsidR="0050374E" w:rsidRPr="003E720F" w:rsidTr="00D56F4F">
              <w:tc>
                <w:tcPr>
                  <w:tcW w:w="6860" w:type="dxa"/>
                  <w:tcBorders>
                    <w:top w:val="single" w:sz="2" w:space="0" w:color="808080"/>
                  </w:tcBorders>
                </w:tcPr>
                <w:p w:rsidR="0050374E" w:rsidRPr="0050374E" w:rsidRDefault="0050374E" w:rsidP="00D56F4F">
                  <w:pPr>
                    <w:framePr w:hSpace="180" w:wrap="around" w:vAnchor="text" w:hAnchor="margin" w:y="-42"/>
                    <w:rPr>
                      <w:color w:val="000000" w:themeColor="text1"/>
                      <w:lang w:val="fi-FI"/>
                    </w:rPr>
                  </w:pPr>
                </w:p>
                <w:p w:rsidR="0050374E" w:rsidRDefault="0050374E" w:rsidP="00D56F4F">
                  <w:pPr>
                    <w:pStyle w:val="ListParagraph"/>
                    <w:framePr w:hSpace="180" w:wrap="around" w:vAnchor="text" w:hAnchor="margin" w:y="-42"/>
                    <w:numPr>
                      <w:ilvl w:val="0"/>
                      <w:numId w:val="44"/>
                    </w:numPr>
                    <w:rPr>
                      <w:color w:val="000000" w:themeColor="text1"/>
                      <w:lang w:val="fi-FI"/>
                    </w:rPr>
                  </w:pPr>
                  <w:r>
                    <w:rPr>
                      <w:color w:val="000000" w:themeColor="text1"/>
                      <w:lang w:val="fi-FI"/>
                    </w:rPr>
                    <w:t>Danske Bank toteutti YouGov –tutkimustoimiston avulla 21.12.2018</w:t>
                  </w:r>
                  <w:r>
                    <w:rPr>
                      <w:rFonts w:ascii="Danske Human Medium Italic" w:hAnsi="Danske Human Medium Italic"/>
                      <w:color w:val="000000" w:themeColor="text1"/>
                      <w:lang w:val="fi-FI"/>
                    </w:rPr>
                    <w:t>−</w:t>
                  </w:r>
                  <w:r>
                    <w:rPr>
                      <w:color w:val="000000" w:themeColor="text1"/>
                      <w:lang w:val="fi-FI"/>
                    </w:rPr>
                    <w:t>3.1.2019 kyselyn suomalaisille kotitalouksille. Tutkimuksen kohderyhmään kuuluivat 18 vuotta täyttäneet suomalaiset. Tulokset on painotettu edustamaan Suomen aikuisväestöä (N=1511)</w:t>
                  </w:r>
                </w:p>
                <w:p w:rsidR="0050374E" w:rsidRPr="0050374E" w:rsidRDefault="0050374E" w:rsidP="00D56F4F">
                  <w:pPr>
                    <w:pStyle w:val="ListParagraph"/>
                    <w:framePr w:hSpace="180" w:wrap="around" w:vAnchor="text" w:hAnchor="margin" w:y="-42"/>
                    <w:numPr>
                      <w:ilvl w:val="0"/>
                      <w:numId w:val="44"/>
                    </w:numPr>
                    <w:rPr>
                      <w:color w:val="000000" w:themeColor="text1"/>
                      <w:lang w:val="fi-FI"/>
                    </w:rPr>
                  </w:pPr>
                  <w:r>
                    <w:rPr>
                      <w:color w:val="000000" w:themeColor="text1"/>
                      <w:lang w:val="fi-FI"/>
                    </w:rPr>
                    <w:t>Kyselyssä tiedusteltiin kuluttajien näkemyksiä koroista, työllisyydestä ja säästämisestä.</w:t>
                  </w:r>
                </w:p>
                <w:p w:rsidR="0050374E" w:rsidRPr="00E15F94" w:rsidRDefault="0050374E" w:rsidP="00D56F4F">
                  <w:pPr>
                    <w:framePr w:hSpace="180" w:wrap="around" w:vAnchor="text" w:hAnchor="margin" w:y="-42"/>
                    <w:rPr>
                      <w:lang w:val="fi-FI"/>
                    </w:rPr>
                  </w:pPr>
                </w:p>
              </w:tc>
            </w:tr>
          </w:tbl>
          <w:p w:rsidR="0050374E" w:rsidRPr="00E15F94" w:rsidRDefault="0050374E" w:rsidP="00D56F4F">
            <w:pPr>
              <w:pStyle w:val="Tableholder"/>
              <w:rPr>
                <w:lang w:val="fi-FI"/>
              </w:rPr>
            </w:pPr>
          </w:p>
        </w:tc>
      </w:tr>
      <w:tr w:rsidR="0050374E" w:rsidRPr="0050374E" w:rsidTr="00D56F4F">
        <w:trPr>
          <w:cantSplit/>
        </w:trPr>
        <w:tc>
          <w:tcPr>
            <w:tcW w:w="6859" w:type="dxa"/>
          </w:tcPr>
          <w:p w:rsidR="0050374E" w:rsidRPr="0050374E" w:rsidRDefault="0050374E" w:rsidP="00D56F4F">
            <w:pPr>
              <w:pStyle w:val="Tablesource"/>
            </w:pPr>
            <w:r w:rsidRPr="0050374E">
              <w:t>Lähde: Danske Bank, YouGov Finland</w:t>
            </w:r>
          </w:p>
        </w:tc>
      </w:tr>
    </w:tbl>
    <w:p w:rsidR="0018377E" w:rsidRPr="0050374E" w:rsidRDefault="0018377E" w:rsidP="00C44FA6">
      <w:pPr>
        <w:pStyle w:val="Leipis"/>
        <w:rPr>
          <w:rFonts w:ascii="Danske Text" w:hAnsi="Danske Text"/>
          <w:lang w:val="en-GB"/>
        </w:rPr>
      </w:pPr>
    </w:p>
    <w:p w:rsidR="005B7B70" w:rsidRPr="0082238B" w:rsidRDefault="00CA41FA" w:rsidP="005B7B70">
      <w:pPr>
        <w:pStyle w:val="Valiotsikot"/>
        <w:rPr>
          <w:rFonts w:ascii="Danske Text" w:hAnsi="Danske Text"/>
          <w:sz w:val="28"/>
          <w:szCs w:val="28"/>
          <w:lang w:val="fi-FI"/>
        </w:rPr>
      </w:pPr>
      <w:r>
        <w:rPr>
          <w:rFonts w:ascii="Danske Text" w:hAnsi="Danske Text"/>
          <w:sz w:val="28"/>
          <w:szCs w:val="28"/>
          <w:lang w:val="fi-FI"/>
        </w:rPr>
        <w:t xml:space="preserve">Työllisyys </w:t>
      </w:r>
      <w:r w:rsidR="00303EFC">
        <w:rPr>
          <w:rFonts w:ascii="Danske Text" w:hAnsi="Danske Text"/>
          <w:sz w:val="28"/>
          <w:szCs w:val="28"/>
          <w:lang w:val="fi-FI"/>
        </w:rPr>
        <w:t>jatkaa paranemista</w:t>
      </w:r>
    </w:p>
    <w:tbl>
      <w:tblPr>
        <w:tblpPr w:leftFromText="180" w:rightFromText="180" w:vertAnchor="text" w:horzAnchor="page" w:tblpX="8178" w:tblpY="229"/>
        <w:tblW w:w="0" w:type="auto"/>
        <w:shd w:val="clear" w:color="auto" w:fill="F3F3F3"/>
        <w:tblLayout w:type="fixed"/>
        <w:tblCellMar>
          <w:left w:w="0" w:type="dxa"/>
          <w:right w:w="0" w:type="dxa"/>
        </w:tblCellMar>
        <w:tblLook w:val="01E0" w:firstRow="1" w:lastRow="1" w:firstColumn="1" w:lastColumn="1" w:noHBand="0" w:noVBand="0"/>
      </w:tblPr>
      <w:tblGrid>
        <w:gridCol w:w="3261"/>
      </w:tblGrid>
      <w:tr w:rsidR="008F3898" w:rsidRPr="00E73B22" w:rsidTr="008F3898">
        <w:trPr>
          <w:trHeight w:hRule="exact" w:val="432"/>
        </w:trPr>
        <w:tc>
          <w:tcPr>
            <w:tcW w:w="3261" w:type="dxa"/>
            <w:shd w:val="clear" w:color="auto" w:fill="033466"/>
            <w:vAlign w:val="center"/>
          </w:tcPr>
          <w:p w:rsidR="008F3898" w:rsidRPr="0082238B" w:rsidRDefault="008F3898" w:rsidP="008F3898">
            <w:pPr>
              <w:pStyle w:val="Margindatatitle"/>
              <w:framePr w:w="0" w:wrap="auto" w:vAnchor="margin" w:hAnchor="text" w:xAlign="left" w:yAlign="inline"/>
              <w:rPr>
                <w:lang w:val="fi-FI"/>
              </w:rPr>
            </w:pPr>
            <w:r>
              <w:rPr>
                <w:lang w:val="fi-FI"/>
              </w:rPr>
              <w:t>Työttömyys laskussa</w:t>
            </w:r>
          </w:p>
        </w:tc>
      </w:tr>
      <w:tr w:rsidR="008F3898" w:rsidRPr="00E73B22" w:rsidTr="008F3898">
        <w:trPr>
          <w:trHeight w:val="613"/>
        </w:trPr>
        <w:tc>
          <w:tcPr>
            <w:tcW w:w="3261" w:type="dxa"/>
            <w:shd w:val="clear" w:color="auto" w:fill="F3F3F3"/>
            <w:tcMar>
              <w:top w:w="28" w:type="dxa"/>
              <w:bottom w:w="28" w:type="dxa"/>
            </w:tcMar>
          </w:tcPr>
          <w:p w:rsidR="008F3898" w:rsidRPr="0082238B" w:rsidRDefault="00555D0F" w:rsidP="008F3898">
            <w:pPr>
              <w:pStyle w:val="Margindataholder"/>
              <w:framePr w:w="0" w:wrap="auto" w:vAnchor="margin" w:hAnchor="text" w:xAlign="left" w:yAlign="inline"/>
              <w:rPr>
                <w:lang w:val="fi-FI"/>
              </w:rPr>
            </w:pPr>
            <w:r>
              <w:object w:dxaOrig="9000" w:dyaOrig="7500">
                <v:shape id="_x0000_i1028" type="#_x0000_t75" style="width:162.9pt;height:135.75pt" o:ole="">
                  <v:imagedata r:id="rId15" o:title=""/>
                </v:shape>
                <o:OLEObject Type="Embed" ProgID="Mbnd.mbnd" ShapeID="_x0000_i1028" DrawAspect="Content" ObjectID="_1609667252" r:id="rId16"/>
              </w:object>
            </w:r>
          </w:p>
        </w:tc>
      </w:tr>
    </w:tbl>
    <w:p w:rsidR="005B7B70" w:rsidRPr="004B4D64" w:rsidRDefault="005B7B70" w:rsidP="005B7B70">
      <w:pPr>
        <w:pStyle w:val="Leipis"/>
        <w:rPr>
          <w:rFonts w:ascii="Danske Text" w:hAnsi="Danske Text"/>
          <w:color w:val="000000" w:themeColor="text1"/>
        </w:rPr>
      </w:pPr>
      <w:r>
        <w:rPr>
          <w:rFonts w:ascii="Danske Text" w:hAnsi="Danske Text"/>
          <w:color w:val="000000" w:themeColor="text1"/>
        </w:rPr>
        <w:t>Suomen työttömyysaste on</w:t>
      </w:r>
      <w:r w:rsidR="00CA41FA">
        <w:rPr>
          <w:rFonts w:ascii="Danske Text" w:hAnsi="Danske Text"/>
          <w:color w:val="000000" w:themeColor="text1"/>
        </w:rPr>
        <w:t xml:space="preserve"> ollut laskussa jo yli kolme vuotta. </w:t>
      </w:r>
      <w:r w:rsidR="00F12D30">
        <w:rPr>
          <w:rFonts w:ascii="Danske Text" w:hAnsi="Danske Text"/>
          <w:color w:val="000000" w:themeColor="text1"/>
        </w:rPr>
        <w:t>T</w:t>
      </w:r>
      <w:r>
        <w:rPr>
          <w:rFonts w:ascii="Danske Text" w:hAnsi="Danske Text"/>
          <w:color w:val="000000" w:themeColor="text1"/>
        </w:rPr>
        <w:t>yöttömyysasteen</w:t>
      </w:r>
      <w:r w:rsidR="00CA41FA">
        <w:rPr>
          <w:rFonts w:ascii="Danske Text" w:hAnsi="Danske Text"/>
          <w:color w:val="000000" w:themeColor="text1"/>
        </w:rPr>
        <w:t xml:space="preserve"> kausi- ja satunnaisvaihtelusta puhdistettu trendi on</w:t>
      </w:r>
      <w:r w:rsidR="00F12D30">
        <w:rPr>
          <w:rFonts w:ascii="Danske Text" w:hAnsi="Danske Text"/>
          <w:color w:val="000000" w:themeColor="text1"/>
        </w:rPr>
        <w:t xml:space="preserve"> painunut </w:t>
      </w:r>
      <w:r w:rsidR="00CA41FA">
        <w:rPr>
          <w:rFonts w:ascii="Danske Text" w:hAnsi="Danske Text"/>
          <w:color w:val="000000" w:themeColor="text1"/>
        </w:rPr>
        <w:t>7</w:t>
      </w:r>
      <w:r>
        <w:rPr>
          <w:rFonts w:ascii="Danske Text" w:hAnsi="Danske Text"/>
          <w:color w:val="000000" w:themeColor="text1"/>
        </w:rPr>
        <w:t>,</w:t>
      </w:r>
      <w:r w:rsidR="00CA41FA">
        <w:rPr>
          <w:rFonts w:ascii="Danske Text" w:hAnsi="Danske Text"/>
          <w:color w:val="000000" w:themeColor="text1"/>
        </w:rPr>
        <w:t>1</w:t>
      </w:r>
      <w:r w:rsidR="00F12D30">
        <w:rPr>
          <w:rFonts w:ascii="Danske Text" w:hAnsi="Danske Text"/>
          <w:color w:val="000000" w:themeColor="text1"/>
        </w:rPr>
        <w:t xml:space="preserve"> prosenttiin </w:t>
      </w:r>
      <w:r w:rsidR="00CA41FA">
        <w:rPr>
          <w:rFonts w:ascii="Danske Text" w:hAnsi="Danske Text"/>
          <w:color w:val="000000" w:themeColor="text1"/>
        </w:rPr>
        <w:t>(marraskuu 2018</w:t>
      </w:r>
      <w:r w:rsidR="001345FF">
        <w:rPr>
          <w:rFonts w:ascii="Danske Text" w:hAnsi="Danske Text"/>
          <w:color w:val="000000" w:themeColor="text1"/>
        </w:rPr>
        <w:t>)</w:t>
      </w:r>
      <w:r w:rsidR="00CA41FA">
        <w:rPr>
          <w:rFonts w:ascii="Danske Text" w:hAnsi="Danske Text"/>
          <w:color w:val="000000" w:themeColor="text1"/>
        </w:rPr>
        <w:t>,</w:t>
      </w:r>
      <w:r w:rsidR="001345FF">
        <w:rPr>
          <w:rFonts w:ascii="Danske Text" w:hAnsi="Danske Text"/>
          <w:color w:val="000000" w:themeColor="text1"/>
        </w:rPr>
        <w:t xml:space="preserve"> </w:t>
      </w:r>
      <w:r w:rsidR="00733CF8">
        <w:rPr>
          <w:rFonts w:ascii="Danske Text" w:hAnsi="Danske Text"/>
          <w:color w:val="000000" w:themeColor="text1"/>
        </w:rPr>
        <w:t xml:space="preserve">kun </w:t>
      </w:r>
      <w:r w:rsidR="00930EE5">
        <w:rPr>
          <w:rFonts w:ascii="Danske Text" w:hAnsi="Danske Text"/>
          <w:color w:val="000000" w:themeColor="text1"/>
        </w:rPr>
        <w:t xml:space="preserve">se kesällä 2015 </w:t>
      </w:r>
      <w:r w:rsidR="00733CF8">
        <w:rPr>
          <w:rFonts w:ascii="Danske Text" w:hAnsi="Danske Text"/>
          <w:color w:val="000000" w:themeColor="text1"/>
        </w:rPr>
        <w:t>saavutti tämän taloussyklin huippunsa</w:t>
      </w:r>
      <w:r w:rsidR="00506AF0">
        <w:rPr>
          <w:rFonts w:ascii="Danske Text" w:hAnsi="Danske Text"/>
          <w:color w:val="000000" w:themeColor="text1"/>
        </w:rPr>
        <w:t xml:space="preserve"> (</w:t>
      </w:r>
      <w:r w:rsidR="00733CF8">
        <w:rPr>
          <w:rFonts w:ascii="Danske Text" w:hAnsi="Danske Text"/>
          <w:color w:val="000000" w:themeColor="text1"/>
        </w:rPr>
        <w:t xml:space="preserve">9,5 </w:t>
      </w:r>
      <w:r w:rsidR="00506AF0">
        <w:rPr>
          <w:rFonts w:ascii="Danske Text" w:hAnsi="Danske Text"/>
          <w:color w:val="000000" w:themeColor="text1"/>
        </w:rPr>
        <w:t>%)</w:t>
      </w:r>
      <w:r w:rsidR="00733CF8" w:rsidRPr="004B4D64">
        <w:rPr>
          <w:rFonts w:ascii="Danske Text" w:hAnsi="Danske Text"/>
          <w:color w:val="000000" w:themeColor="text1"/>
        </w:rPr>
        <w:t xml:space="preserve">. </w:t>
      </w:r>
      <w:r w:rsidR="002628AD" w:rsidRPr="004B4D64">
        <w:rPr>
          <w:rFonts w:ascii="Danske Text" w:hAnsi="Danske Text"/>
          <w:color w:val="000000" w:themeColor="text1"/>
        </w:rPr>
        <w:t>Miesten työttömyys on laskenut naisten työttömyyttä nopeammin</w:t>
      </w:r>
      <w:r w:rsidR="007C3C69" w:rsidRPr="004B4D64">
        <w:rPr>
          <w:rFonts w:ascii="Danske Text" w:hAnsi="Danske Text"/>
          <w:color w:val="000000" w:themeColor="text1"/>
        </w:rPr>
        <w:t xml:space="preserve">, aivan </w:t>
      </w:r>
      <w:r w:rsidR="002628AD" w:rsidRPr="004B4D64">
        <w:rPr>
          <w:rFonts w:ascii="Danske Text" w:hAnsi="Danske Text"/>
          <w:color w:val="000000" w:themeColor="text1"/>
        </w:rPr>
        <w:t>kuten se myös nousi n</w:t>
      </w:r>
      <w:r w:rsidR="00733CF8" w:rsidRPr="004B4D64">
        <w:rPr>
          <w:rFonts w:ascii="Danske Text" w:hAnsi="Danske Text"/>
          <w:color w:val="000000" w:themeColor="text1"/>
        </w:rPr>
        <w:t>opeammin finanssikriisin aikana</w:t>
      </w:r>
      <w:r w:rsidR="0032684A" w:rsidRPr="004B4D64">
        <w:rPr>
          <w:rFonts w:ascii="Danske Text" w:hAnsi="Danske Text"/>
          <w:color w:val="000000" w:themeColor="text1"/>
        </w:rPr>
        <w:t>.</w:t>
      </w:r>
      <w:r w:rsidR="00506AF0">
        <w:rPr>
          <w:rFonts w:ascii="Danske Text" w:hAnsi="Danske Text"/>
          <w:color w:val="000000" w:themeColor="text1"/>
        </w:rPr>
        <w:t xml:space="preserve"> Tilastokeskuksen kuluttajabarometri</w:t>
      </w:r>
      <w:r w:rsidR="00303EFC">
        <w:rPr>
          <w:rFonts w:ascii="Danske Text" w:hAnsi="Danske Text"/>
          <w:color w:val="000000" w:themeColor="text1"/>
        </w:rPr>
        <w:t xml:space="preserve"> kertoo myös, että työlliset ovat tällä hetkellä luottavaisempia työpaikkansa pysyvyyteen kuin kertaakaan vuoden 2011 jälkeen.</w:t>
      </w:r>
    </w:p>
    <w:tbl>
      <w:tblPr>
        <w:tblpPr w:leftFromText="180" w:rightFromText="180" w:vertAnchor="text" w:horzAnchor="page" w:tblpX="8261" w:tblpY="1811"/>
        <w:tblW w:w="0" w:type="auto"/>
        <w:shd w:val="clear" w:color="auto" w:fill="F3F3F3"/>
        <w:tblLayout w:type="fixed"/>
        <w:tblCellMar>
          <w:left w:w="0" w:type="dxa"/>
          <w:right w:w="0" w:type="dxa"/>
        </w:tblCellMar>
        <w:tblLook w:val="01E0" w:firstRow="1" w:lastRow="1" w:firstColumn="1" w:lastColumn="1" w:noHBand="0" w:noVBand="0"/>
      </w:tblPr>
      <w:tblGrid>
        <w:gridCol w:w="3261"/>
      </w:tblGrid>
      <w:tr w:rsidR="00303EFC" w:rsidRPr="00E73B22" w:rsidTr="00303EFC">
        <w:trPr>
          <w:trHeight w:hRule="exact" w:val="432"/>
        </w:trPr>
        <w:tc>
          <w:tcPr>
            <w:tcW w:w="3261" w:type="dxa"/>
            <w:shd w:val="clear" w:color="auto" w:fill="033466"/>
            <w:vAlign w:val="center"/>
          </w:tcPr>
          <w:p w:rsidR="00303EFC" w:rsidRPr="0082238B" w:rsidRDefault="00303EFC" w:rsidP="00303EFC">
            <w:pPr>
              <w:pStyle w:val="Margindatatitle"/>
              <w:framePr w:w="0" w:wrap="auto" w:vAnchor="margin" w:hAnchor="text" w:xAlign="left" w:yAlign="inline"/>
              <w:rPr>
                <w:lang w:val="fi-FI"/>
              </w:rPr>
            </w:pPr>
            <w:r>
              <w:rPr>
                <w:lang w:val="fi-FI"/>
              </w:rPr>
              <w:t>Työllisyys nousussa</w:t>
            </w:r>
          </w:p>
        </w:tc>
      </w:tr>
      <w:tr w:rsidR="00303EFC" w:rsidRPr="00E73B22" w:rsidTr="00303EFC">
        <w:trPr>
          <w:trHeight w:val="613"/>
        </w:trPr>
        <w:tc>
          <w:tcPr>
            <w:tcW w:w="3261" w:type="dxa"/>
            <w:shd w:val="clear" w:color="auto" w:fill="F3F3F3"/>
            <w:tcMar>
              <w:top w:w="28" w:type="dxa"/>
              <w:bottom w:w="28" w:type="dxa"/>
            </w:tcMar>
          </w:tcPr>
          <w:p w:rsidR="00303EFC" w:rsidRPr="0082238B" w:rsidRDefault="00555D0F" w:rsidP="00303EFC">
            <w:pPr>
              <w:pStyle w:val="Margindataholder"/>
              <w:framePr w:w="0" w:wrap="auto" w:vAnchor="margin" w:hAnchor="text" w:xAlign="left" w:yAlign="inline"/>
              <w:rPr>
                <w:lang w:val="fi-FI"/>
              </w:rPr>
            </w:pPr>
            <w:r>
              <w:object w:dxaOrig="9000" w:dyaOrig="7500">
                <v:shape id="_x0000_i1029" type="#_x0000_t75" style="width:162.9pt;height:135.75pt" o:ole="">
                  <v:imagedata r:id="rId17" o:title=""/>
                </v:shape>
                <o:OLEObject Type="Embed" ProgID="Mbnd.mbnd" ShapeID="_x0000_i1029" DrawAspect="Content" ObjectID="_1609667253" r:id="rId18"/>
              </w:object>
            </w:r>
          </w:p>
        </w:tc>
      </w:tr>
    </w:tbl>
    <w:p w:rsidR="007C3C69" w:rsidRPr="004B4D64" w:rsidRDefault="005B7B70" w:rsidP="005B7B70">
      <w:pPr>
        <w:pStyle w:val="Leipis"/>
        <w:rPr>
          <w:rFonts w:ascii="Danske Text" w:hAnsi="Danske Text"/>
          <w:color w:val="000000" w:themeColor="text1"/>
        </w:rPr>
      </w:pPr>
      <w:r w:rsidRPr="004B4D64">
        <w:rPr>
          <w:rFonts w:ascii="Danske Text" w:hAnsi="Danske Text"/>
          <w:color w:val="000000" w:themeColor="text1"/>
        </w:rPr>
        <w:t>Alueelliset erot työttömyysasteessa ovat suuria. Korkeinta työttömyys on Pohjois-Karjalassa</w:t>
      </w:r>
      <w:r w:rsidR="004B4D64">
        <w:rPr>
          <w:rFonts w:ascii="Danske Text" w:hAnsi="Danske Text"/>
          <w:color w:val="000000" w:themeColor="text1"/>
        </w:rPr>
        <w:t>, Lapissa ja Kaakkois</w:t>
      </w:r>
      <w:r w:rsidRPr="004B4D64">
        <w:rPr>
          <w:rFonts w:ascii="Danske Text" w:hAnsi="Danske Text"/>
          <w:color w:val="000000" w:themeColor="text1"/>
        </w:rPr>
        <w:t>-Suomessa</w:t>
      </w:r>
      <w:r w:rsidR="00AD001D" w:rsidRPr="004B4D64">
        <w:rPr>
          <w:rFonts w:ascii="Danske Text" w:hAnsi="Danske Text"/>
          <w:color w:val="000000" w:themeColor="text1"/>
        </w:rPr>
        <w:t>. Matalimmat luvut löytyvät</w:t>
      </w:r>
      <w:r w:rsidRPr="004B4D64">
        <w:rPr>
          <w:rFonts w:ascii="Danske Text" w:hAnsi="Danske Text"/>
          <w:color w:val="000000" w:themeColor="text1"/>
        </w:rPr>
        <w:t xml:space="preserve"> </w:t>
      </w:r>
      <w:r w:rsidR="00AD001D" w:rsidRPr="004B4D64">
        <w:rPr>
          <w:rFonts w:ascii="Danske Text" w:hAnsi="Danske Text"/>
          <w:color w:val="000000" w:themeColor="text1"/>
        </w:rPr>
        <w:t>Pohjanmaalta</w:t>
      </w:r>
      <w:r w:rsidRPr="004B4D64">
        <w:rPr>
          <w:rFonts w:ascii="Danske Text" w:hAnsi="Danske Text"/>
          <w:color w:val="000000" w:themeColor="text1"/>
        </w:rPr>
        <w:t xml:space="preserve">. </w:t>
      </w:r>
      <w:r w:rsidR="00BE2BB7" w:rsidRPr="004B4D64">
        <w:rPr>
          <w:rFonts w:ascii="Danske Text" w:hAnsi="Danske Text"/>
          <w:color w:val="000000" w:themeColor="text1"/>
        </w:rPr>
        <w:t>Toimialoittain tarkasteltuna suurim</w:t>
      </w:r>
      <w:r w:rsidR="00F12D30" w:rsidRPr="004B4D64">
        <w:rPr>
          <w:rFonts w:ascii="Danske Text" w:hAnsi="Danske Text"/>
          <w:color w:val="000000" w:themeColor="text1"/>
        </w:rPr>
        <w:t>mat työllistäjät ovat</w:t>
      </w:r>
      <w:r w:rsidR="00733CF8" w:rsidRPr="004B4D64">
        <w:rPr>
          <w:rFonts w:ascii="Danske Text" w:hAnsi="Danske Text"/>
          <w:color w:val="000000" w:themeColor="text1"/>
        </w:rPr>
        <w:t xml:space="preserve"> sosiaali- ja terveys</w:t>
      </w:r>
      <w:r w:rsidR="00BE2BB7" w:rsidRPr="004B4D64">
        <w:rPr>
          <w:rFonts w:ascii="Danske Text" w:hAnsi="Danske Text"/>
          <w:color w:val="000000" w:themeColor="text1"/>
        </w:rPr>
        <w:t>pa</w:t>
      </w:r>
      <w:r w:rsidR="00F12D30" w:rsidRPr="004B4D64">
        <w:rPr>
          <w:rFonts w:ascii="Danske Text" w:hAnsi="Danske Text"/>
          <w:color w:val="000000" w:themeColor="text1"/>
        </w:rPr>
        <w:t>lvelut</w:t>
      </w:r>
      <w:r w:rsidR="00BE2BB7" w:rsidRPr="004B4D64">
        <w:rPr>
          <w:rFonts w:ascii="Danske Text" w:hAnsi="Danske Text"/>
          <w:color w:val="000000" w:themeColor="text1"/>
        </w:rPr>
        <w:t xml:space="preserve">, </w:t>
      </w:r>
      <w:r w:rsidR="00F12D30" w:rsidRPr="004B4D64">
        <w:rPr>
          <w:rFonts w:ascii="Danske Text" w:hAnsi="Danske Text"/>
          <w:color w:val="000000" w:themeColor="text1"/>
        </w:rPr>
        <w:t>teollisuus ja kauppa</w:t>
      </w:r>
      <w:r w:rsidR="00BE2BB7" w:rsidRPr="004B4D64">
        <w:rPr>
          <w:rFonts w:ascii="Danske Text" w:hAnsi="Danske Text"/>
          <w:color w:val="000000" w:themeColor="text1"/>
        </w:rPr>
        <w:t xml:space="preserve">. Näistä teollisuuden osuus on pienentynyt selvästi viimeisen 10 vuoden aikana, kun taas sosiaali- ja terveyspalveluiden rooli työllistäjänä on kasvanut. </w:t>
      </w:r>
      <w:r w:rsidR="00F96E89">
        <w:rPr>
          <w:rFonts w:ascii="Danske Text" w:hAnsi="Danske Text"/>
          <w:color w:val="000000" w:themeColor="text1"/>
        </w:rPr>
        <w:t xml:space="preserve">Tällä hetkellä työllisyys kasvaa </w:t>
      </w:r>
      <w:r w:rsidR="00303EFC">
        <w:rPr>
          <w:rFonts w:ascii="Danske Text" w:hAnsi="Danske Text"/>
          <w:color w:val="000000" w:themeColor="text1"/>
        </w:rPr>
        <w:t xml:space="preserve">kuitenkin </w:t>
      </w:r>
      <w:r w:rsidR="00F96E89">
        <w:rPr>
          <w:rFonts w:ascii="Danske Text" w:hAnsi="Danske Text"/>
          <w:color w:val="000000" w:themeColor="text1"/>
        </w:rPr>
        <w:t xml:space="preserve">laajasti eri toimialoilla. </w:t>
      </w:r>
      <w:r w:rsidR="00BE2BB7" w:rsidRPr="004B4D64">
        <w:rPr>
          <w:rFonts w:ascii="Danske Text" w:hAnsi="Danske Text"/>
          <w:color w:val="000000" w:themeColor="text1"/>
        </w:rPr>
        <w:t>V</w:t>
      </w:r>
      <w:r w:rsidR="00C20F13">
        <w:rPr>
          <w:rFonts w:ascii="Danske Text" w:hAnsi="Danske Text"/>
          <w:color w:val="000000" w:themeColor="text1"/>
        </w:rPr>
        <w:t>ahvinta kasvu on ollut rakentamisessa, jossa suhdannehuippu alkaa tosi</w:t>
      </w:r>
      <w:r w:rsidR="009C1F22">
        <w:rPr>
          <w:rFonts w:ascii="Danske Text" w:hAnsi="Danske Text"/>
          <w:color w:val="000000" w:themeColor="text1"/>
        </w:rPr>
        <w:t>n</w:t>
      </w:r>
      <w:r w:rsidR="00C20F13">
        <w:rPr>
          <w:rFonts w:ascii="Danske Text" w:hAnsi="Danske Text"/>
          <w:color w:val="000000" w:themeColor="text1"/>
        </w:rPr>
        <w:t xml:space="preserve"> olla käsillä</w:t>
      </w:r>
      <w:r w:rsidR="007C3C69" w:rsidRPr="004B4D64">
        <w:rPr>
          <w:rFonts w:ascii="Danske Text" w:hAnsi="Danske Text"/>
          <w:color w:val="000000" w:themeColor="text1"/>
        </w:rPr>
        <w:t>.</w:t>
      </w:r>
      <w:r w:rsidR="00303EFC" w:rsidRPr="00303EFC">
        <w:rPr>
          <w:rFonts w:ascii="Danske Text" w:hAnsi="Danske Text"/>
          <w:color w:val="000000" w:themeColor="text1"/>
        </w:rPr>
        <w:t xml:space="preserve"> </w:t>
      </w:r>
      <w:r w:rsidR="00303EFC">
        <w:rPr>
          <w:rFonts w:ascii="Danske Text" w:hAnsi="Danske Text"/>
          <w:color w:val="000000" w:themeColor="text1"/>
        </w:rPr>
        <w:t>Ilahduttavaa on myös, että t</w:t>
      </w:r>
      <w:r w:rsidR="00303EFC" w:rsidRPr="00041CAA">
        <w:rPr>
          <w:rFonts w:ascii="Danske Text" w:hAnsi="Danske Text"/>
          <w:color w:val="000000" w:themeColor="text1"/>
        </w:rPr>
        <w:t>yöll</w:t>
      </w:r>
      <w:r w:rsidR="00303EFC">
        <w:rPr>
          <w:rFonts w:ascii="Danske Text" w:hAnsi="Danske Text"/>
          <w:color w:val="000000" w:themeColor="text1"/>
        </w:rPr>
        <w:t>isyys paranee nyt kaikissa ikäluokissa. Ikääntyneempien työntekijöiden työskentely on lisääntynyt jo pidempään, mutta viime vuonna kääntyi kasvuun lopulta myös tasaisena madellut 25-34 –vuotiaiden työllisyysaste.</w:t>
      </w:r>
    </w:p>
    <w:p w:rsidR="00A31543" w:rsidRPr="00041CAA" w:rsidRDefault="005B7B70" w:rsidP="00467993">
      <w:pPr>
        <w:pStyle w:val="Leipis"/>
        <w:rPr>
          <w:rFonts w:ascii="Danske Text" w:hAnsi="Danske Text"/>
          <w:color w:val="000000" w:themeColor="text1"/>
        </w:rPr>
      </w:pPr>
      <w:r w:rsidRPr="004B4D64">
        <w:rPr>
          <w:rFonts w:ascii="Danske Text" w:hAnsi="Danske Text"/>
          <w:color w:val="000000" w:themeColor="text1"/>
        </w:rPr>
        <w:t>Jatkossa odotamme työttömyyden jatkav</w:t>
      </w:r>
      <w:r w:rsidR="006338A7" w:rsidRPr="004B4D64">
        <w:rPr>
          <w:rFonts w:ascii="Danske Text" w:hAnsi="Danske Text"/>
          <w:color w:val="000000" w:themeColor="text1"/>
        </w:rPr>
        <w:t xml:space="preserve">an laskuaan Suomen talouden </w:t>
      </w:r>
      <w:r w:rsidR="006338A7">
        <w:rPr>
          <w:rFonts w:ascii="Danske Text" w:hAnsi="Danske Text"/>
          <w:color w:val="000000" w:themeColor="text1"/>
        </w:rPr>
        <w:t>jatkaessa elpymistään</w:t>
      </w:r>
      <w:r>
        <w:rPr>
          <w:rFonts w:ascii="Danske Text" w:hAnsi="Danske Text"/>
          <w:color w:val="000000" w:themeColor="text1"/>
        </w:rPr>
        <w:t>. Ennustamme t</w:t>
      </w:r>
      <w:r w:rsidRPr="00A733FE">
        <w:rPr>
          <w:rFonts w:ascii="Danske Text" w:hAnsi="Danske Text"/>
          <w:color w:val="000000" w:themeColor="text1"/>
        </w:rPr>
        <w:t xml:space="preserve">yöttömyysasteen </w:t>
      </w:r>
      <w:r>
        <w:rPr>
          <w:rFonts w:ascii="Danske Text" w:hAnsi="Danske Text"/>
          <w:color w:val="000000" w:themeColor="text1"/>
        </w:rPr>
        <w:t>laskevan</w:t>
      </w:r>
      <w:r w:rsidRPr="00A733FE">
        <w:rPr>
          <w:rFonts w:ascii="Danske Text" w:hAnsi="Danske Text"/>
          <w:color w:val="000000" w:themeColor="text1"/>
        </w:rPr>
        <w:t xml:space="preserve"> </w:t>
      </w:r>
      <w:r w:rsidR="008F3898">
        <w:rPr>
          <w:rFonts w:ascii="Danske Text" w:hAnsi="Danske Text"/>
          <w:color w:val="000000" w:themeColor="text1"/>
        </w:rPr>
        <w:t>7,0</w:t>
      </w:r>
      <w:r>
        <w:rPr>
          <w:rFonts w:ascii="Danske Text" w:hAnsi="Danske Text"/>
          <w:color w:val="000000" w:themeColor="text1"/>
        </w:rPr>
        <w:t xml:space="preserve"> prosenttiin </w:t>
      </w:r>
      <w:r w:rsidR="008F3898">
        <w:rPr>
          <w:rFonts w:ascii="Danske Text" w:hAnsi="Danske Text"/>
          <w:color w:val="000000" w:themeColor="text1"/>
        </w:rPr>
        <w:t>tänä v</w:t>
      </w:r>
      <w:r w:rsidRPr="00A733FE">
        <w:rPr>
          <w:rFonts w:ascii="Danske Text" w:hAnsi="Danske Text"/>
          <w:color w:val="000000" w:themeColor="text1"/>
        </w:rPr>
        <w:t>uon</w:t>
      </w:r>
      <w:r>
        <w:rPr>
          <w:rFonts w:ascii="Danske Text" w:hAnsi="Danske Text"/>
          <w:color w:val="000000" w:themeColor="text1"/>
        </w:rPr>
        <w:t>na</w:t>
      </w:r>
      <w:r w:rsidR="008F3898">
        <w:rPr>
          <w:rFonts w:ascii="Danske Text" w:hAnsi="Danske Text"/>
          <w:color w:val="000000" w:themeColor="text1"/>
        </w:rPr>
        <w:t xml:space="preserve">. </w:t>
      </w:r>
      <w:r w:rsidR="008F3898" w:rsidRPr="008F3898">
        <w:rPr>
          <w:rFonts w:ascii="Danske Text" w:hAnsi="Danske Text"/>
          <w:color w:val="000000" w:themeColor="text1"/>
        </w:rPr>
        <w:lastRenderedPageBreak/>
        <w:t>Vuodelle 2020 emme ennusta enää oleellista paranemista, vaan työttömyysaste jää 6,9 prosenttiin.</w:t>
      </w:r>
    </w:p>
    <w:p w:rsidR="00EE5004" w:rsidRPr="00041CAA" w:rsidRDefault="00EE5004" w:rsidP="00467993">
      <w:pPr>
        <w:pStyle w:val="Leipis"/>
        <w:rPr>
          <w:rFonts w:ascii="Danske Text" w:hAnsi="Danske Text"/>
          <w:color w:val="000000" w:themeColor="text1"/>
        </w:rPr>
      </w:pPr>
    </w:p>
    <w:tbl>
      <w:tblPr>
        <w:tblStyle w:val="Placeholder"/>
        <w:tblpPr w:leftFromText="180" w:rightFromText="180" w:vertAnchor="text" w:horzAnchor="margin" w:tblpY="-42"/>
        <w:tblW w:w="6859" w:type="dxa"/>
        <w:tblLayout w:type="fixed"/>
        <w:tblLook w:val="04E0" w:firstRow="1" w:lastRow="1" w:firstColumn="1" w:lastColumn="0" w:noHBand="0" w:noVBand="1"/>
      </w:tblPr>
      <w:tblGrid>
        <w:gridCol w:w="6859"/>
      </w:tblGrid>
      <w:tr w:rsidR="0050374E" w:rsidRPr="007D3DC8" w:rsidTr="00D56F4F">
        <w:trPr>
          <w:cantSplit/>
        </w:trPr>
        <w:tc>
          <w:tcPr>
            <w:tcW w:w="6859" w:type="dxa"/>
          </w:tcPr>
          <w:p w:rsidR="0050374E" w:rsidRPr="007D3DC8" w:rsidRDefault="0050374E" w:rsidP="00D56F4F">
            <w:pPr>
              <w:pStyle w:val="Tabletitle"/>
              <w:rPr>
                <w:lang w:val="fi-FI"/>
              </w:rPr>
            </w:pPr>
            <w:r>
              <w:rPr>
                <w:lang w:val="fi-FI"/>
              </w:rPr>
              <w:t>Kotitalouskysely 2019</w:t>
            </w:r>
            <w:r w:rsidR="00FD39DB">
              <w:rPr>
                <w:lang w:val="fi-FI"/>
              </w:rPr>
              <w:t>: Työpaikan vaihtaminen</w:t>
            </w:r>
          </w:p>
        </w:tc>
      </w:tr>
      <w:tr w:rsidR="0050374E" w:rsidRPr="003E720F" w:rsidTr="00D56F4F">
        <w:trPr>
          <w:cantSplit/>
        </w:trPr>
        <w:tc>
          <w:tcPr>
            <w:tcW w:w="6859" w:type="dxa"/>
          </w:tcPr>
          <w:tbl>
            <w:tblPr>
              <w:tblStyle w:val="TableGrid"/>
              <w:tblW w:w="6860" w:type="dxa"/>
              <w:tblLayout w:type="fixed"/>
              <w:tblLook w:val="06A0" w:firstRow="1" w:lastRow="0" w:firstColumn="1" w:lastColumn="0" w:noHBand="1" w:noVBand="1"/>
            </w:tblPr>
            <w:tblGrid>
              <w:gridCol w:w="6860"/>
            </w:tblGrid>
            <w:tr w:rsidR="0050374E" w:rsidRPr="007D3DC8" w:rsidTr="00D56F4F">
              <w:tc>
                <w:tcPr>
                  <w:tcW w:w="6860" w:type="dxa"/>
                  <w:tcBorders>
                    <w:bottom w:val="single" w:sz="2" w:space="0" w:color="808080"/>
                  </w:tcBorders>
                </w:tcPr>
                <w:p w:rsidR="0050374E" w:rsidRPr="007D3DC8" w:rsidRDefault="0050374E" w:rsidP="00D56F4F">
                  <w:pPr>
                    <w:framePr w:hSpace="180" w:wrap="around" w:vAnchor="text" w:hAnchor="margin" w:y="-42"/>
                    <w:rPr>
                      <w:b/>
                      <w:lang w:val="fi-FI"/>
                    </w:rPr>
                  </w:pPr>
                </w:p>
              </w:tc>
            </w:tr>
            <w:tr w:rsidR="0050374E" w:rsidRPr="003E720F" w:rsidTr="00D56F4F">
              <w:tc>
                <w:tcPr>
                  <w:tcW w:w="6860" w:type="dxa"/>
                  <w:tcBorders>
                    <w:top w:val="single" w:sz="2" w:space="0" w:color="808080"/>
                  </w:tcBorders>
                </w:tcPr>
                <w:p w:rsidR="00AB7133" w:rsidRPr="00AB7133" w:rsidRDefault="00AB7133" w:rsidP="00AB7133">
                  <w:pPr>
                    <w:framePr w:hSpace="180" w:wrap="around" w:vAnchor="text" w:hAnchor="margin" w:y="-42"/>
                    <w:rPr>
                      <w:sz w:val="22"/>
                      <w:lang w:val="fi-FI"/>
                    </w:rPr>
                  </w:pPr>
                  <w:r w:rsidRPr="00AB7133">
                    <w:rPr>
                      <w:sz w:val="22"/>
                      <w:lang w:val="fi-FI"/>
                    </w:rPr>
                    <w:t>Tänä vuonna lähes kolmannes suomalaisista vaihtaa työpaikkaa, jos aikeet ja toiveet toteutuvat. Danske Bankin YouGovilla teettämän tutkimuksen mukaan 11 prosenttia suomalaisista aikoo varmasti ja 18 prosentt</w:t>
                  </w:r>
                  <w:r w:rsidR="00930EE5">
                    <w:rPr>
                      <w:sz w:val="22"/>
                      <w:lang w:val="fi-FI"/>
                    </w:rPr>
                    <w:t>ia todennäköisesti hakea uutta</w:t>
                  </w:r>
                  <w:r w:rsidRPr="00AB7133">
                    <w:rPr>
                      <w:sz w:val="22"/>
                      <w:lang w:val="fi-FI"/>
                    </w:rPr>
                    <w:t xml:space="preserve"> työtä vuoden 2019 aikana.</w:t>
                  </w:r>
                </w:p>
                <w:p w:rsidR="00AB7133" w:rsidRPr="00AB7133" w:rsidRDefault="00AB7133" w:rsidP="00AB7133">
                  <w:pPr>
                    <w:framePr w:hSpace="180" w:wrap="around" w:vAnchor="text" w:hAnchor="margin" w:y="-42"/>
                    <w:rPr>
                      <w:sz w:val="22"/>
                      <w:lang w:val="fi-FI"/>
                    </w:rPr>
                  </w:pPr>
                </w:p>
                <w:p w:rsidR="00AB7133" w:rsidRPr="00AB7133" w:rsidRDefault="00AB7133" w:rsidP="00AB7133">
                  <w:pPr>
                    <w:framePr w:hSpace="180" w:wrap="around" w:vAnchor="text" w:hAnchor="margin" w:y="-42"/>
                    <w:rPr>
                      <w:sz w:val="22"/>
                      <w:lang w:val="fi-FI"/>
                    </w:rPr>
                  </w:pPr>
                  <w:r w:rsidRPr="00AB7133">
                    <w:rPr>
                      <w:sz w:val="22"/>
                      <w:lang w:val="fi-FI"/>
                    </w:rPr>
                    <w:t>Uudellamaalla ja Etelä-Suomessa varmasti tai todennäköisesti uutta työpaikkaa hakevien osuus on hieman korkeampi kuin muualla maassa.</w:t>
                  </w:r>
                  <w:r>
                    <w:rPr>
                      <w:sz w:val="22"/>
                      <w:lang w:val="fi-FI"/>
                    </w:rPr>
                    <w:t xml:space="preserve"> 18-29-vuotiaista, jotka ovat jo työelämässä uutta työtä aikoo hakea vähintään todennäköisesti 40 prosenttia.</w:t>
                  </w:r>
                </w:p>
                <w:p w:rsidR="00AB7133" w:rsidRPr="00AB7133" w:rsidRDefault="00AB7133" w:rsidP="00AB7133">
                  <w:pPr>
                    <w:framePr w:hSpace="180" w:wrap="around" w:vAnchor="text" w:hAnchor="margin" w:y="-42"/>
                    <w:rPr>
                      <w:sz w:val="22"/>
                      <w:lang w:val="fi-FI"/>
                    </w:rPr>
                  </w:pPr>
                </w:p>
                <w:p w:rsidR="00AB7133" w:rsidRPr="00AB7133" w:rsidRDefault="00AB7133" w:rsidP="00AB7133">
                  <w:pPr>
                    <w:framePr w:hSpace="180" w:wrap="around" w:vAnchor="text" w:hAnchor="margin" w:y="-42"/>
                    <w:rPr>
                      <w:sz w:val="22"/>
                      <w:lang w:val="fi-FI"/>
                    </w:rPr>
                  </w:pPr>
                  <w:r w:rsidRPr="00AB7133">
                    <w:rPr>
                      <w:sz w:val="22"/>
                      <w:lang w:val="fi-FI"/>
                    </w:rPr>
                    <w:t xml:space="preserve">Kääntöpuolena on, että suurin osa suomalaisista aikoo pysyä nykyisessä työpaikassaan. 22 prosenttia ei varmasti ja 37 prosenttia ei todennäköisesti aio hakea uutta työtä vuoden 2019 aikana. </w:t>
                  </w:r>
                </w:p>
                <w:p w:rsidR="0050374E" w:rsidRPr="00E15F94" w:rsidRDefault="0050374E" w:rsidP="00AB7133">
                  <w:pPr>
                    <w:pStyle w:val="ListParagraph"/>
                    <w:framePr w:hSpace="180" w:wrap="around" w:vAnchor="text" w:hAnchor="margin" w:y="-42"/>
                    <w:rPr>
                      <w:lang w:val="fi-FI"/>
                    </w:rPr>
                  </w:pPr>
                </w:p>
              </w:tc>
            </w:tr>
          </w:tbl>
          <w:p w:rsidR="0050374E" w:rsidRPr="00E15F94" w:rsidRDefault="0050374E" w:rsidP="00D56F4F">
            <w:pPr>
              <w:pStyle w:val="Tableholder"/>
              <w:rPr>
                <w:lang w:val="fi-FI"/>
              </w:rPr>
            </w:pPr>
          </w:p>
        </w:tc>
      </w:tr>
      <w:tr w:rsidR="0050374E" w:rsidRPr="0050374E" w:rsidTr="00D56F4F">
        <w:trPr>
          <w:cantSplit/>
        </w:trPr>
        <w:tc>
          <w:tcPr>
            <w:tcW w:w="6859" w:type="dxa"/>
          </w:tcPr>
          <w:p w:rsidR="0050374E" w:rsidRPr="0050374E" w:rsidRDefault="0050374E" w:rsidP="00D56F4F">
            <w:pPr>
              <w:pStyle w:val="Tablesource"/>
            </w:pPr>
            <w:r w:rsidRPr="0050374E">
              <w:t>Lähde: Danske Bank, YouGov Finland</w:t>
            </w:r>
          </w:p>
        </w:tc>
      </w:tr>
    </w:tbl>
    <w:p w:rsidR="00506AF0" w:rsidRPr="0050374E" w:rsidRDefault="00506AF0" w:rsidP="00467993">
      <w:pPr>
        <w:pStyle w:val="Leipis"/>
        <w:rPr>
          <w:rFonts w:ascii="Danske Text" w:hAnsi="Danske Text"/>
          <w:noProof/>
          <w:color w:val="003466"/>
          <w:sz w:val="28"/>
          <w:szCs w:val="28"/>
          <w:lang w:val="en-GB"/>
        </w:rPr>
      </w:pPr>
    </w:p>
    <w:p w:rsidR="0073074D" w:rsidRPr="000E1FE5" w:rsidRDefault="00D568C3" w:rsidP="00467993">
      <w:pPr>
        <w:pStyle w:val="Leipis"/>
        <w:rPr>
          <w:rFonts w:ascii="Danske Text" w:hAnsi="Danske Text"/>
          <w:noProof/>
          <w:color w:val="003466"/>
          <w:sz w:val="28"/>
          <w:szCs w:val="28"/>
        </w:rPr>
      </w:pPr>
      <w:r>
        <w:rPr>
          <w:rFonts w:ascii="Danske Text" w:hAnsi="Danske Text"/>
          <w:noProof/>
          <w:color w:val="003466"/>
          <w:sz w:val="28"/>
          <w:szCs w:val="28"/>
        </w:rPr>
        <w:t>Matala korkotaso pitää korkomenot toistaiseksi kurissa</w:t>
      </w:r>
    </w:p>
    <w:tbl>
      <w:tblPr>
        <w:tblpPr w:leftFromText="180" w:rightFromText="180" w:vertAnchor="text" w:horzAnchor="page" w:tblpX="8241" w:tblpY="89"/>
        <w:tblW w:w="0" w:type="auto"/>
        <w:shd w:val="clear" w:color="auto" w:fill="F3F3F3"/>
        <w:tblLayout w:type="fixed"/>
        <w:tblCellMar>
          <w:left w:w="0" w:type="dxa"/>
          <w:right w:w="0" w:type="dxa"/>
        </w:tblCellMar>
        <w:tblLook w:val="01E0" w:firstRow="1" w:lastRow="1" w:firstColumn="1" w:lastColumn="1" w:noHBand="0" w:noVBand="0"/>
      </w:tblPr>
      <w:tblGrid>
        <w:gridCol w:w="3231"/>
      </w:tblGrid>
      <w:tr w:rsidR="000C1E2C" w:rsidRPr="00D43D4D" w:rsidTr="000C1E2C">
        <w:trPr>
          <w:trHeight w:hRule="exact" w:val="454"/>
        </w:trPr>
        <w:tc>
          <w:tcPr>
            <w:tcW w:w="3231" w:type="dxa"/>
            <w:shd w:val="clear" w:color="auto" w:fill="033466"/>
            <w:vAlign w:val="center"/>
          </w:tcPr>
          <w:p w:rsidR="000C1E2C" w:rsidRPr="0082238B" w:rsidRDefault="000C1E2C" w:rsidP="000C1E2C">
            <w:pPr>
              <w:pStyle w:val="Margindatatitle"/>
              <w:framePr w:w="0" w:wrap="auto" w:vAnchor="margin" w:hAnchor="text" w:xAlign="left" w:yAlign="inline"/>
              <w:rPr>
                <w:lang w:val="fi-FI"/>
              </w:rPr>
            </w:pPr>
            <w:r>
              <w:rPr>
                <w:lang w:val="fi-FI"/>
              </w:rPr>
              <w:t>Velkaantuneisuus ja korkomenot</w:t>
            </w:r>
          </w:p>
        </w:tc>
      </w:tr>
      <w:tr w:rsidR="000C1E2C" w:rsidRPr="00D43D4D" w:rsidTr="000C1E2C">
        <w:tc>
          <w:tcPr>
            <w:tcW w:w="3231" w:type="dxa"/>
            <w:shd w:val="clear" w:color="auto" w:fill="F3F3F3"/>
            <w:tcMar>
              <w:top w:w="28" w:type="dxa"/>
              <w:bottom w:w="28" w:type="dxa"/>
            </w:tcMar>
          </w:tcPr>
          <w:p w:rsidR="000C1E2C" w:rsidRPr="0082238B" w:rsidRDefault="00555D0F" w:rsidP="000C1E2C">
            <w:pPr>
              <w:pStyle w:val="Margindataholder"/>
              <w:framePr w:w="0" w:wrap="auto" w:vAnchor="margin" w:hAnchor="text" w:xAlign="left" w:yAlign="inline"/>
              <w:rPr>
                <w:lang w:val="fi-FI"/>
              </w:rPr>
            </w:pPr>
            <w:r>
              <w:object w:dxaOrig="9000" w:dyaOrig="7500">
                <v:shape id="_x0000_i1030" type="#_x0000_t75" style="width:161.1pt;height:134.25pt" o:ole="">
                  <v:imagedata r:id="rId19" o:title=""/>
                </v:shape>
                <o:OLEObject Type="Embed" ProgID="Mbnd.mbnd" ShapeID="_x0000_i1030" DrawAspect="Content" ObjectID="_1609667254" r:id="rId20"/>
              </w:object>
            </w:r>
          </w:p>
        </w:tc>
      </w:tr>
    </w:tbl>
    <w:p w:rsidR="0066775B" w:rsidRDefault="002B1AAD" w:rsidP="0050378A">
      <w:pPr>
        <w:pStyle w:val="Leipis"/>
        <w:rPr>
          <w:rFonts w:ascii="Danske Text" w:hAnsi="Danske Text"/>
        </w:rPr>
      </w:pPr>
      <w:r>
        <w:rPr>
          <w:rFonts w:ascii="Danske Text" w:hAnsi="Danske Text"/>
        </w:rPr>
        <w:t>Kotitalouksien velkaantuminen on</w:t>
      </w:r>
      <w:r w:rsidR="00ED071F">
        <w:rPr>
          <w:rFonts w:ascii="Danske Text" w:hAnsi="Danske Text"/>
        </w:rPr>
        <w:t xml:space="preserve"> puhuttanut paljon</w:t>
      </w:r>
      <w:r>
        <w:rPr>
          <w:rFonts w:ascii="Danske Text" w:hAnsi="Danske Text"/>
        </w:rPr>
        <w:t xml:space="preserve">. </w:t>
      </w:r>
      <w:r w:rsidR="0066775B">
        <w:rPr>
          <w:rFonts w:ascii="Danske Text" w:hAnsi="Danske Text"/>
        </w:rPr>
        <w:t>M</w:t>
      </w:r>
      <w:r>
        <w:rPr>
          <w:rFonts w:ascii="Danske Text" w:hAnsi="Danske Text"/>
        </w:rPr>
        <w:t xml:space="preserve">atala korkotaso houkuttelee velanottoon, ja velkakanta suhteessa käytettävissä oleviin tuloihin on </w:t>
      </w:r>
      <w:r w:rsidR="002D5482">
        <w:rPr>
          <w:rFonts w:ascii="Danske Text" w:hAnsi="Danske Text"/>
        </w:rPr>
        <w:t>noussut ennätystasolle</w:t>
      </w:r>
      <w:r>
        <w:rPr>
          <w:rFonts w:ascii="Danske Text" w:hAnsi="Danske Text"/>
        </w:rPr>
        <w:t>.</w:t>
      </w:r>
      <w:r w:rsidR="0066775B" w:rsidRPr="0066775B">
        <w:rPr>
          <w:rFonts w:ascii="Danske Text" w:hAnsi="Danske Text"/>
        </w:rPr>
        <w:t xml:space="preserve"> Ehkä hieman yllättäen v</w:t>
      </w:r>
      <w:r w:rsidR="0066775B">
        <w:rPr>
          <w:rFonts w:ascii="Danske Text" w:hAnsi="Danske Text"/>
        </w:rPr>
        <w:t xml:space="preserve">elkakannan nopea kasvuvaihe ajoittui kuitenkin pääosin 2000-luvun alkupuolelle. </w:t>
      </w:r>
      <w:r w:rsidR="00757483">
        <w:rPr>
          <w:rFonts w:ascii="Danske Text" w:hAnsi="Danske Text"/>
        </w:rPr>
        <w:t xml:space="preserve">Viime vuosina kehitys on ollut maltillisempaa, ja </w:t>
      </w:r>
      <w:r w:rsidR="002D5482">
        <w:rPr>
          <w:rFonts w:ascii="Danske Text" w:hAnsi="Danske Text"/>
        </w:rPr>
        <w:t xml:space="preserve">suhteessa tuloihin </w:t>
      </w:r>
      <w:r w:rsidR="0066775B">
        <w:rPr>
          <w:rFonts w:ascii="Danske Text" w:hAnsi="Danske Text"/>
        </w:rPr>
        <w:t xml:space="preserve">velkojen kasvu </w:t>
      </w:r>
      <w:r w:rsidR="002D5482">
        <w:rPr>
          <w:rFonts w:ascii="Danske Text" w:hAnsi="Danske Text"/>
        </w:rPr>
        <w:t xml:space="preserve">näyttäisi </w:t>
      </w:r>
      <w:r w:rsidR="00757483">
        <w:rPr>
          <w:rFonts w:ascii="Danske Text" w:hAnsi="Danske Text"/>
        </w:rPr>
        <w:t xml:space="preserve">lähes pysähtyneen. Vuonna 2019 voi </w:t>
      </w:r>
      <w:r w:rsidR="002D5482">
        <w:rPr>
          <w:rFonts w:ascii="Danske Text" w:hAnsi="Danske Text"/>
        </w:rPr>
        <w:t>velkakannan ennakoida kasvavan tasa</w:t>
      </w:r>
      <w:r w:rsidR="00757483">
        <w:rPr>
          <w:rFonts w:ascii="Danske Text" w:hAnsi="Danske Text"/>
        </w:rPr>
        <w:t xml:space="preserve">tahtia </w:t>
      </w:r>
      <w:r w:rsidR="002D5482">
        <w:rPr>
          <w:rFonts w:ascii="Danske Text" w:hAnsi="Danske Text"/>
        </w:rPr>
        <w:t xml:space="preserve">käytettävissä olevien </w:t>
      </w:r>
      <w:r w:rsidR="00757483">
        <w:rPr>
          <w:rFonts w:ascii="Danske Text" w:hAnsi="Danske Text"/>
        </w:rPr>
        <w:t>tulojen kanssa tai jopa laskevan.</w:t>
      </w:r>
      <w:r w:rsidR="0066775B" w:rsidRPr="0066775B">
        <w:rPr>
          <w:rFonts w:ascii="Danske Text" w:hAnsi="Danske Text"/>
        </w:rPr>
        <w:t xml:space="preserve"> </w:t>
      </w:r>
      <w:r w:rsidR="0066775B" w:rsidRPr="00757483">
        <w:rPr>
          <w:rFonts w:ascii="Danske Text" w:hAnsi="Danske Text"/>
        </w:rPr>
        <w:t xml:space="preserve">Kansainvälisessä vertailussa suomalaisten velkaantuneisuus on euroalueen keskitasoa korkeammalla, mutta </w:t>
      </w:r>
      <w:r w:rsidR="0066775B">
        <w:rPr>
          <w:rFonts w:ascii="Danske Text" w:hAnsi="Danske Text"/>
        </w:rPr>
        <w:t xml:space="preserve">yhä selvästi </w:t>
      </w:r>
      <w:r w:rsidR="0066775B" w:rsidRPr="00757483">
        <w:rPr>
          <w:rFonts w:ascii="Danske Text" w:hAnsi="Danske Text"/>
        </w:rPr>
        <w:t>muita Pohjoismaita matalammalla.</w:t>
      </w:r>
    </w:p>
    <w:tbl>
      <w:tblPr>
        <w:tblpPr w:leftFromText="180" w:rightFromText="180" w:vertAnchor="text" w:horzAnchor="page" w:tblpX="8329" w:tblpY="2047"/>
        <w:tblW w:w="0" w:type="auto"/>
        <w:shd w:val="clear" w:color="auto" w:fill="F3F3F3"/>
        <w:tblLayout w:type="fixed"/>
        <w:tblCellMar>
          <w:left w:w="0" w:type="dxa"/>
          <w:right w:w="0" w:type="dxa"/>
        </w:tblCellMar>
        <w:tblLook w:val="01E0" w:firstRow="1" w:lastRow="1" w:firstColumn="1" w:lastColumn="1" w:noHBand="0" w:noVBand="0"/>
      </w:tblPr>
      <w:tblGrid>
        <w:gridCol w:w="3231"/>
      </w:tblGrid>
      <w:tr w:rsidR="00C83C2F" w:rsidRPr="00D43D4D" w:rsidTr="00306786">
        <w:trPr>
          <w:trHeight w:hRule="exact" w:val="454"/>
        </w:trPr>
        <w:tc>
          <w:tcPr>
            <w:tcW w:w="3231" w:type="dxa"/>
            <w:shd w:val="clear" w:color="auto" w:fill="033466"/>
            <w:vAlign w:val="center"/>
          </w:tcPr>
          <w:p w:rsidR="00C83C2F" w:rsidRPr="0082238B" w:rsidRDefault="00C83C2F" w:rsidP="00306786">
            <w:pPr>
              <w:pStyle w:val="Margindatatitle"/>
              <w:framePr w:w="0" w:wrap="auto" w:vAnchor="margin" w:hAnchor="text" w:xAlign="left" w:yAlign="inline"/>
              <w:rPr>
                <w:lang w:val="fi-FI"/>
              </w:rPr>
            </w:pPr>
            <w:r>
              <w:rPr>
                <w:lang w:val="fi-FI"/>
              </w:rPr>
              <w:lastRenderedPageBreak/>
              <w:t>Velkaantuneisuus eri maissa</w:t>
            </w:r>
          </w:p>
        </w:tc>
      </w:tr>
      <w:tr w:rsidR="00C83C2F" w:rsidRPr="00D43D4D" w:rsidTr="00306786">
        <w:tc>
          <w:tcPr>
            <w:tcW w:w="3231" w:type="dxa"/>
            <w:shd w:val="clear" w:color="auto" w:fill="F3F3F3"/>
            <w:tcMar>
              <w:top w:w="28" w:type="dxa"/>
              <w:bottom w:w="28" w:type="dxa"/>
            </w:tcMar>
          </w:tcPr>
          <w:p w:rsidR="00C83C2F" w:rsidRPr="0082238B" w:rsidRDefault="00555D0F" w:rsidP="00306786">
            <w:pPr>
              <w:pStyle w:val="Margindataholder"/>
              <w:framePr w:w="0" w:wrap="auto" w:vAnchor="margin" w:hAnchor="text" w:xAlign="left" w:yAlign="inline"/>
              <w:rPr>
                <w:lang w:val="fi-FI"/>
              </w:rPr>
            </w:pPr>
            <w:r>
              <w:object w:dxaOrig="9000" w:dyaOrig="7500">
                <v:shape id="_x0000_i1031" type="#_x0000_t75" style="width:161.1pt;height:134.25pt" o:ole="">
                  <v:imagedata r:id="rId21" o:title=""/>
                </v:shape>
                <o:OLEObject Type="Embed" ProgID="Mbnd.mbnd" ShapeID="_x0000_i1031" DrawAspect="Content" ObjectID="_1609667255" r:id="rId22"/>
              </w:object>
            </w:r>
          </w:p>
        </w:tc>
      </w:tr>
    </w:tbl>
    <w:p w:rsidR="002B1AAD" w:rsidRDefault="00ED374B" w:rsidP="0050378A">
      <w:pPr>
        <w:pStyle w:val="Leipis"/>
        <w:rPr>
          <w:rFonts w:ascii="Danske Text" w:hAnsi="Danske Text"/>
        </w:rPr>
      </w:pPr>
      <w:r w:rsidRPr="00ED374B">
        <w:rPr>
          <w:rFonts w:ascii="Danske Text" w:hAnsi="Danske Text"/>
        </w:rPr>
        <w:t>Uusien asuntolainojen keskikorko on painunut Suomessa 0,88 prosenttiin (sisältäen mahdollisen korkosuojauksen), mikä on tilastohistorian matalin taso. Se on myös koko euroalueen alhaisin taso, eli suomalaiset velalliset ovat hyötyneet korkojen laskusta tuntuvasti viime vuosina. Myös asuntolainojen keskimarginaalit ovat lipuneet alaspäin.</w:t>
      </w:r>
      <w:r>
        <w:rPr>
          <w:rFonts w:ascii="Danske Text" w:hAnsi="Danske Text"/>
        </w:rPr>
        <w:t xml:space="preserve"> </w:t>
      </w:r>
      <w:r w:rsidR="00ED071F">
        <w:rPr>
          <w:rFonts w:ascii="Danske Text" w:hAnsi="Danske Text"/>
        </w:rPr>
        <w:t>Suomalaiset ovat</w:t>
      </w:r>
      <w:r>
        <w:rPr>
          <w:rFonts w:ascii="Danske Text" w:hAnsi="Danske Text"/>
        </w:rPr>
        <w:t>kin</w:t>
      </w:r>
      <w:r w:rsidR="00930EE5">
        <w:rPr>
          <w:rFonts w:ascii="Danske Text" w:hAnsi="Danske Text"/>
        </w:rPr>
        <w:t xml:space="preserve"> käyttäneet ottamansa luotot</w:t>
      </w:r>
      <w:r w:rsidR="00ED071F">
        <w:rPr>
          <w:rFonts w:ascii="Danske Text" w:hAnsi="Danske Text"/>
        </w:rPr>
        <w:t xml:space="preserve"> pääosin asuntovarallisuuden kartuttamiseen, eivät kulutukseen. Asuntojen hintojen nousu on nostanut nettovarallisuutta velkaantumisesta huolimatta. Parin viime vuoden aikana kotitalouksien säästämisaste on kuitenkin laskenut negatiiviseksi</w:t>
      </w:r>
      <w:r w:rsidR="002D5482">
        <w:rPr>
          <w:rFonts w:ascii="Danske Text" w:hAnsi="Danske Text"/>
        </w:rPr>
        <w:t>, mikä on poikkeuksellista</w:t>
      </w:r>
      <w:r w:rsidR="00ED071F">
        <w:rPr>
          <w:rFonts w:ascii="Danske Text" w:hAnsi="Danske Text"/>
        </w:rPr>
        <w:t>. Asun</w:t>
      </w:r>
      <w:r>
        <w:rPr>
          <w:rFonts w:ascii="Danske Text" w:hAnsi="Danske Text"/>
        </w:rPr>
        <w:t xml:space="preserve">tovarallisuus on jatkanut </w:t>
      </w:r>
      <w:r w:rsidR="00ED071F">
        <w:rPr>
          <w:rFonts w:ascii="Danske Text" w:hAnsi="Danske Text"/>
        </w:rPr>
        <w:t xml:space="preserve">kasvuaan, mutta lainanottoa hitaammin. </w:t>
      </w:r>
      <w:r w:rsidR="002D5482">
        <w:rPr>
          <w:rFonts w:ascii="Danske Text" w:hAnsi="Danske Text"/>
        </w:rPr>
        <w:t xml:space="preserve">Myös osa </w:t>
      </w:r>
      <w:r w:rsidR="00ED071F">
        <w:rPr>
          <w:rFonts w:ascii="Danske Text" w:hAnsi="Danske Text"/>
        </w:rPr>
        <w:t>kulutuksesta on siis rahoitettu joko lainalla tai säästöjä realisoimalla. Pidemmän päälle tämä ei ole kestävä malli, mutta odotettavaa on, että säästämisaste elpyy nyt, kun talouden palkkasumma kasvaa</w:t>
      </w:r>
      <w:r w:rsidR="00506AF0">
        <w:rPr>
          <w:rFonts w:ascii="Danske Text" w:hAnsi="Danske Text"/>
        </w:rPr>
        <w:t xml:space="preserve"> taas vauhdilla.</w:t>
      </w:r>
    </w:p>
    <w:p w:rsidR="00D26279" w:rsidRDefault="00ED374B" w:rsidP="006F38EC">
      <w:pPr>
        <w:pStyle w:val="Leipis"/>
        <w:rPr>
          <w:rFonts w:ascii="Danske Text" w:hAnsi="Danske Text"/>
        </w:rPr>
      </w:pPr>
      <w:r>
        <w:rPr>
          <w:rFonts w:ascii="Danske Text" w:hAnsi="Danske Text"/>
        </w:rPr>
        <w:t xml:space="preserve">Viranomaiset ovat pyrkineet rajoittamaan velkaantumista makrovakauden turvaamiseksi. </w:t>
      </w:r>
      <w:r w:rsidR="00D26279">
        <w:rPr>
          <w:rFonts w:ascii="Danske Text" w:hAnsi="Danske Text"/>
        </w:rPr>
        <w:t>Heinäkuussa 2018</w:t>
      </w:r>
      <w:r w:rsidR="006F38EC">
        <w:rPr>
          <w:rFonts w:ascii="Danske Text" w:hAnsi="Danske Text"/>
        </w:rPr>
        <w:t xml:space="preserve"> astui voimaan uusi lainakatto, jonka mukaa</w:t>
      </w:r>
      <w:r w:rsidR="00D26279">
        <w:rPr>
          <w:rFonts w:ascii="Danske Text" w:hAnsi="Danske Text"/>
        </w:rPr>
        <w:t>n asuntolainaa saa enintään 85</w:t>
      </w:r>
      <w:r w:rsidR="00DE5DD6">
        <w:rPr>
          <w:rFonts w:ascii="Danske Text" w:hAnsi="Danske Text"/>
        </w:rPr>
        <w:t xml:space="preserve"> prosenttia</w:t>
      </w:r>
      <w:r w:rsidR="006F38EC">
        <w:rPr>
          <w:rFonts w:ascii="Danske Text" w:hAnsi="Danske Text"/>
        </w:rPr>
        <w:t xml:space="preserve"> (95 % ensiasunnon osalta) vakuuksien arvosta.</w:t>
      </w:r>
      <w:r w:rsidR="00AF41CF" w:rsidRPr="00AF41CF">
        <w:t xml:space="preserve"> </w:t>
      </w:r>
      <w:r w:rsidR="002D5482">
        <w:rPr>
          <w:rFonts w:ascii="Danske Text" w:hAnsi="Danske Text"/>
        </w:rPr>
        <w:t xml:space="preserve">Ennakkosäästämistä </w:t>
      </w:r>
      <w:r w:rsidR="00AF41CF" w:rsidRPr="00AF41CF">
        <w:rPr>
          <w:rFonts w:ascii="Danske Text" w:hAnsi="Danske Text"/>
        </w:rPr>
        <w:t xml:space="preserve">tarvitaan </w:t>
      </w:r>
      <w:r w:rsidR="002D5482">
        <w:rPr>
          <w:rFonts w:ascii="Danske Text" w:hAnsi="Danske Text"/>
        </w:rPr>
        <w:t xml:space="preserve">siis </w:t>
      </w:r>
      <w:r w:rsidR="00AF41CF" w:rsidRPr="00AF41CF">
        <w:rPr>
          <w:rFonts w:ascii="Danske Text" w:hAnsi="Danske Text"/>
        </w:rPr>
        <w:t>aiempaa enemmän</w:t>
      </w:r>
      <w:r w:rsidR="00AF41CF">
        <w:rPr>
          <w:rFonts w:ascii="Danske Text" w:hAnsi="Danske Text"/>
        </w:rPr>
        <w:t>.</w:t>
      </w:r>
      <w:r w:rsidR="006F38EC">
        <w:rPr>
          <w:rFonts w:ascii="Danske Text" w:hAnsi="Danske Text"/>
        </w:rPr>
        <w:t xml:space="preserve"> Lisäksi asuntolainojen korkovä</w:t>
      </w:r>
      <w:r w:rsidR="002C55AB">
        <w:rPr>
          <w:rFonts w:ascii="Danske Text" w:hAnsi="Danske Text"/>
        </w:rPr>
        <w:t xml:space="preserve">hennystä pienennetään asteittain. </w:t>
      </w:r>
      <w:r w:rsidR="00D26279">
        <w:rPr>
          <w:rFonts w:ascii="Danske Text" w:hAnsi="Danske Text"/>
        </w:rPr>
        <w:t>Vuonna 2019</w:t>
      </w:r>
      <w:r w:rsidR="006F38EC">
        <w:rPr>
          <w:rFonts w:ascii="Danske Text" w:hAnsi="Danske Text"/>
        </w:rPr>
        <w:t xml:space="preserve"> asun</w:t>
      </w:r>
      <w:r w:rsidR="00D26279">
        <w:rPr>
          <w:rFonts w:ascii="Danske Text" w:hAnsi="Danske Text"/>
        </w:rPr>
        <w:t>tolainan koroista saa vähentää 2</w:t>
      </w:r>
      <w:r w:rsidR="006F38EC">
        <w:rPr>
          <w:rFonts w:ascii="Danske Text" w:hAnsi="Danske Text"/>
        </w:rPr>
        <w:t xml:space="preserve">5 </w:t>
      </w:r>
      <w:r w:rsidR="00DE5DD6">
        <w:rPr>
          <w:rFonts w:ascii="Danske Text" w:hAnsi="Danske Text"/>
        </w:rPr>
        <w:t>prosenttia</w:t>
      </w:r>
      <w:r w:rsidR="003B2F13">
        <w:rPr>
          <w:rFonts w:ascii="Danske Text" w:hAnsi="Danske Text"/>
        </w:rPr>
        <w:t xml:space="preserve">. Korkovähennyksen osuutta </w:t>
      </w:r>
      <w:r w:rsidR="00D26279">
        <w:rPr>
          <w:rFonts w:ascii="Danske Text" w:hAnsi="Danske Text"/>
        </w:rPr>
        <w:t>on pienennetty joka vuo</w:t>
      </w:r>
      <w:r w:rsidR="000E3A6A">
        <w:rPr>
          <w:rFonts w:ascii="Danske Text" w:hAnsi="Danske Text"/>
        </w:rPr>
        <w:t>si vuo</w:t>
      </w:r>
      <w:r w:rsidR="002D5482">
        <w:rPr>
          <w:rFonts w:ascii="Danske Text" w:hAnsi="Danske Text"/>
        </w:rPr>
        <w:t>desta 2011 saakka. V</w:t>
      </w:r>
      <w:r w:rsidR="00645E2C">
        <w:rPr>
          <w:rFonts w:ascii="Danske Text" w:hAnsi="Danske Text"/>
        </w:rPr>
        <w:t>ähenny</w:t>
      </w:r>
      <w:r w:rsidR="000E3A6A">
        <w:rPr>
          <w:rFonts w:ascii="Danske Text" w:hAnsi="Danske Text"/>
        </w:rPr>
        <w:t xml:space="preserve">ksen merkitystä </w:t>
      </w:r>
      <w:r w:rsidR="002D5482">
        <w:rPr>
          <w:rFonts w:ascii="Danske Text" w:hAnsi="Danske Text"/>
        </w:rPr>
        <w:t xml:space="preserve">tosin pienentää </w:t>
      </w:r>
      <w:r w:rsidR="000E3A6A">
        <w:rPr>
          <w:rFonts w:ascii="Danske Text" w:hAnsi="Danske Text"/>
        </w:rPr>
        <w:t xml:space="preserve">myös vallitseva matala korkotaso. </w:t>
      </w:r>
      <w:r w:rsidR="006F38EC">
        <w:rPr>
          <w:rFonts w:ascii="Danske Text" w:hAnsi="Danske Text"/>
        </w:rPr>
        <w:t>Esimerkiksi 100 000 euron asuntolain</w:t>
      </w:r>
      <w:r w:rsidR="000E3A6A">
        <w:rPr>
          <w:rFonts w:ascii="Danske Text" w:hAnsi="Danske Text"/>
        </w:rPr>
        <w:t>asta s</w:t>
      </w:r>
      <w:r w:rsidR="00645E2C">
        <w:rPr>
          <w:rFonts w:ascii="Danske Text" w:hAnsi="Danske Text"/>
        </w:rPr>
        <w:t xml:space="preserve">aatava veroetu </w:t>
      </w:r>
      <w:r w:rsidR="002D5482">
        <w:rPr>
          <w:rFonts w:ascii="Danske Text" w:hAnsi="Danske Text"/>
        </w:rPr>
        <w:t xml:space="preserve">on vuonna 2019 </w:t>
      </w:r>
      <w:r w:rsidR="00645E2C">
        <w:rPr>
          <w:rFonts w:ascii="Danske Text" w:hAnsi="Danske Text"/>
        </w:rPr>
        <w:t xml:space="preserve">enää </w:t>
      </w:r>
      <w:r w:rsidR="003B2F13">
        <w:rPr>
          <w:rFonts w:ascii="Danske Text" w:hAnsi="Danske Text"/>
        </w:rPr>
        <w:t>74</w:t>
      </w:r>
      <w:r w:rsidR="000E3A6A">
        <w:rPr>
          <w:rFonts w:ascii="Danske Text" w:hAnsi="Danske Text"/>
        </w:rPr>
        <w:t xml:space="preserve"> euroa</w:t>
      </w:r>
      <w:r w:rsidR="00645E2C">
        <w:rPr>
          <w:rFonts w:ascii="Danske Text" w:hAnsi="Danske Text"/>
        </w:rPr>
        <w:t xml:space="preserve"> vuodessa, jos</w:t>
      </w:r>
      <w:r w:rsidR="000E3A6A">
        <w:rPr>
          <w:rFonts w:ascii="Danske Text" w:hAnsi="Danske Text"/>
        </w:rPr>
        <w:t xml:space="preserve"> </w:t>
      </w:r>
      <w:r w:rsidR="00645E2C">
        <w:rPr>
          <w:rFonts w:ascii="Danske Text" w:hAnsi="Danske Text"/>
        </w:rPr>
        <w:t>kokonais</w:t>
      </w:r>
      <w:r w:rsidR="003B2F13">
        <w:rPr>
          <w:rFonts w:ascii="Danske Text" w:hAnsi="Danske Text"/>
        </w:rPr>
        <w:t>korko on 0,9</w:t>
      </w:r>
      <w:r w:rsidR="002D5482">
        <w:rPr>
          <w:rFonts w:ascii="Danske Text" w:hAnsi="Danske Text"/>
        </w:rPr>
        <w:t>8 prosenttia</w:t>
      </w:r>
      <w:r w:rsidR="006F38EC">
        <w:rPr>
          <w:rFonts w:ascii="Danske Text" w:hAnsi="Danske Text"/>
        </w:rPr>
        <w:t xml:space="preserve"> (suomalaisten asuntolainakan</w:t>
      </w:r>
      <w:r w:rsidR="000E3A6A">
        <w:rPr>
          <w:rFonts w:ascii="Danske Text" w:hAnsi="Danske Text"/>
        </w:rPr>
        <w:t>nan keskikorko marraskuussa 2018</w:t>
      </w:r>
      <w:r w:rsidR="006F38EC">
        <w:rPr>
          <w:rFonts w:ascii="Danske Text" w:hAnsi="Danske Text"/>
        </w:rPr>
        <w:t>).</w:t>
      </w:r>
      <w:r w:rsidR="00903504">
        <w:rPr>
          <w:rFonts w:ascii="Danske Text" w:hAnsi="Danske Text"/>
        </w:rPr>
        <w:t xml:space="preserve"> </w:t>
      </w:r>
      <w:r w:rsidR="002D5482">
        <w:rPr>
          <w:rFonts w:ascii="Danske Text" w:hAnsi="Danske Text"/>
        </w:rPr>
        <w:t xml:space="preserve">Tehdyt muutokset </w:t>
      </w:r>
      <w:r w:rsidR="00903504">
        <w:rPr>
          <w:rFonts w:ascii="Danske Text" w:hAnsi="Danske Text"/>
        </w:rPr>
        <w:t xml:space="preserve">hillitsevät </w:t>
      </w:r>
      <w:r w:rsidR="002D5482">
        <w:rPr>
          <w:rFonts w:ascii="Danske Text" w:hAnsi="Danske Text"/>
        </w:rPr>
        <w:t>asuntol</w:t>
      </w:r>
      <w:r w:rsidR="00903504">
        <w:rPr>
          <w:rFonts w:ascii="Danske Text" w:hAnsi="Danske Text"/>
        </w:rPr>
        <w:t xml:space="preserve">ainanottoa, mutta eivät </w:t>
      </w:r>
      <w:r w:rsidR="002D5482">
        <w:rPr>
          <w:rFonts w:ascii="Danske Text" w:hAnsi="Danske Text"/>
        </w:rPr>
        <w:t>juuri vaikuta nopeammin</w:t>
      </w:r>
      <w:r w:rsidR="00903504">
        <w:rPr>
          <w:rFonts w:ascii="Danske Text" w:hAnsi="Danske Text"/>
        </w:rPr>
        <w:t xml:space="preserve"> kasvaviin kulutusluottoihin, taloyhtiölainoihin tai opintolainoihin. Odotettavissa kuitenkin on, että rakentamisbuumina asteittainen hidastuminen hillitsee myös taloyhtiölainojen kasvua.</w:t>
      </w:r>
    </w:p>
    <w:tbl>
      <w:tblPr>
        <w:tblpPr w:leftFromText="180" w:rightFromText="180" w:vertAnchor="text" w:horzAnchor="page" w:tblpX="8459" w:tblpY="-57"/>
        <w:tblW w:w="0" w:type="auto"/>
        <w:shd w:val="clear" w:color="auto" w:fill="F3F3F3"/>
        <w:tblLayout w:type="fixed"/>
        <w:tblCellMar>
          <w:left w:w="0" w:type="dxa"/>
          <w:right w:w="0" w:type="dxa"/>
        </w:tblCellMar>
        <w:tblLook w:val="01E0" w:firstRow="1" w:lastRow="1" w:firstColumn="1" w:lastColumn="1" w:noHBand="0" w:noVBand="0"/>
      </w:tblPr>
      <w:tblGrid>
        <w:gridCol w:w="3119"/>
      </w:tblGrid>
      <w:tr w:rsidR="00306786" w:rsidRPr="000F7876" w:rsidTr="00306786">
        <w:trPr>
          <w:trHeight w:hRule="exact" w:val="454"/>
        </w:trPr>
        <w:tc>
          <w:tcPr>
            <w:tcW w:w="3119" w:type="dxa"/>
            <w:shd w:val="clear" w:color="auto" w:fill="033466"/>
            <w:vAlign w:val="center"/>
          </w:tcPr>
          <w:p w:rsidR="00306786" w:rsidRPr="0082238B" w:rsidRDefault="00306786" w:rsidP="00306786">
            <w:pPr>
              <w:pStyle w:val="Margindatatitle"/>
              <w:framePr w:w="0" w:wrap="auto" w:vAnchor="margin" w:hAnchor="text" w:xAlign="left" w:yAlign="inline"/>
              <w:rPr>
                <w:lang w:val="fi-FI"/>
              </w:rPr>
            </w:pPr>
            <w:r>
              <w:rPr>
                <w:lang w:val="fi-FI"/>
              </w:rPr>
              <w:lastRenderedPageBreak/>
              <w:t>Asuntojen hinnat eriytyneet</w:t>
            </w:r>
          </w:p>
        </w:tc>
      </w:tr>
      <w:tr w:rsidR="00306786" w:rsidRPr="000F7876" w:rsidTr="00306786">
        <w:tc>
          <w:tcPr>
            <w:tcW w:w="3119" w:type="dxa"/>
            <w:shd w:val="clear" w:color="auto" w:fill="F3F3F3"/>
            <w:tcMar>
              <w:top w:w="28" w:type="dxa"/>
              <w:bottom w:w="28" w:type="dxa"/>
            </w:tcMar>
          </w:tcPr>
          <w:p w:rsidR="00306786" w:rsidRPr="00A850EC" w:rsidRDefault="00555D0F" w:rsidP="00306786">
            <w:pPr>
              <w:pStyle w:val="Margindataholder"/>
              <w:framePr w:w="0" w:wrap="auto" w:vAnchor="margin" w:hAnchor="text" w:xAlign="left" w:yAlign="inline"/>
              <w:rPr>
                <w:lang w:val="en-US"/>
              </w:rPr>
            </w:pPr>
            <w:r>
              <w:object w:dxaOrig="9000" w:dyaOrig="7500">
                <v:shape id="_x0000_i1032" type="#_x0000_t75" style="width:155.7pt;height:130.15pt" o:ole="">
                  <v:imagedata r:id="rId23" o:title=""/>
                </v:shape>
                <o:OLEObject Type="Embed" ProgID="Mbnd.mbnd" ShapeID="_x0000_i1032" DrawAspect="Content" ObjectID="_1609667256" r:id="rId24"/>
              </w:object>
            </w:r>
          </w:p>
        </w:tc>
      </w:tr>
    </w:tbl>
    <w:p w:rsidR="00041CAA" w:rsidRDefault="006F38EC" w:rsidP="00C83C2F">
      <w:pPr>
        <w:pStyle w:val="Leipis"/>
        <w:rPr>
          <w:rFonts w:ascii="Danske Text" w:hAnsi="Danske Text"/>
        </w:rPr>
      </w:pPr>
      <w:r>
        <w:rPr>
          <w:rFonts w:ascii="Danske Text" w:hAnsi="Danske Text"/>
        </w:rPr>
        <w:t>Vaikka kotitalouksien velkakanta on kasvanut, ovat velanhoitoon käytettävät korkokul</w:t>
      </w:r>
      <w:r w:rsidR="002D5482">
        <w:rPr>
          <w:rFonts w:ascii="Danske Text" w:hAnsi="Danske Text"/>
        </w:rPr>
        <w:t xml:space="preserve">ut </w:t>
      </w:r>
      <w:r>
        <w:rPr>
          <w:rFonts w:ascii="Danske Text" w:hAnsi="Danske Text"/>
        </w:rPr>
        <w:t>matalammalla kuin koskaan aikaisemmin. Tämä johtuu pitkälti siitä, että valtaosa suomalaisten asuntolainoista on sidottu lyhyisiin markkinakorkoihin, jolloin korkojen lasku näkyy nopeasti maksetuissa korkomenoissa. Kolikon kääntöpuolena on se, että korkojen noustessa suomalaisten korko</w:t>
      </w:r>
      <w:r w:rsidR="006D1F2A">
        <w:rPr>
          <w:rFonts w:ascii="Danske Text" w:hAnsi="Danske Text"/>
        </w:rPr>
        <w:t>kulut tulevat nousemaan nopeammin</w:t>
      </w:r>
      <w:r w:rsidR="00AF41CF">
        <w:rPr>
          <w:rFonts w:ascii="Danske Text" w:hAnsi="Danske Text"/>
        </w:rPr>
        <w:t>. Suomalaisten kotitalouksien kulutus reagoi</w:t>
      </w:r>
      <w:r w:rsidR="002D5482">
        <w:rPr>
          <w:rFonts w:ascii="Danske Text" w:hAnsi="Danske Text"/>
        </w:rPr>
        <w:t>kin</w:t>
      </w:r>
      <w:r w:rsidR="00AF41CF">
        <w:rPr>
          <w:rFonts w:ascii="Danske Text" w:hAnsi="Danske Text"/>
        </w:rPr>
        <w:t xml:space="preserve"> jatkossa herkästi korkotason muutoksiin.</w:t>
      </w:r>
      <w:r w:rsidR="002D5482">
        <w:rPr>
          <w:rFonts w:ascii="Danske Text" w:hAnsi="Danske Text"/>
        </w:rPr>
        <w:t xml:space="preserve"> Todennäköistä kuitenkin on, että historiallisesti matala korkotaso vallitsee vielä pitkään, vaikka suunta olisikin ylöspäin.</w:t>
      </w:r>
    </w:p>
    <w:p w:rsidR="0050374E" w:rsidRDefault="0050374E" w:rsidP="0050374E">
      <w:pPr>
        <w:pStyle w:val="Leipis"/>
        <w:rPr>
          <w:rFonts w:ascii="Danske Text" w:hAnsi="Danske Text"/>
        </w:rPr>
      </w:pPr>
    </w:p>
    <w:tbl>
      <w:tblPr>
        <w:tblStyle w:val="Placeholder"/>
        <w:tblpPr w:leftFromText="180" w:rightFromText="180" w:vertAnchor="text" w:horzAnchor="margin" w:tblpY="-42"/>
        <w:tblW w:w="6859" w:type="dxa"/>
        <w:tblLayout w:type="fixed"/>
        <w:tblLook w:val="04E0" w:firstRow="1" w:lastRow="1" w:firstColumn="1" w:lastColumn="0" w:noHBand="0" w:noVBand="1"/>
      </w:tblPr>
      <w:tblGrid>
        <w:gridCol w:w="6859"/>
      </w:tblGrid>
      <w:tr w:rsidR="0000693F" w:rsidRPr="007D3DC8" w:rsidTr="00D56F4F">
        <w:trPr>
          <w:cantSplit/>
        </w:trPr>
        <w:tc>
          <w:tcPr>
            <w:tcW w:w="6859" w:type="dxa"/>
          </w:tcPr>
          <w:p w:rsidR="0000693F" w:rsidRPr="007D3DC8" w:rsidRDefault="0000693F" w:rsidP="00D56F4F">
            <w:pPr>
              <w:pStyle w:val="Tabletitle"/>
              <w:rPr>
                <w:lang w:val="fi-FI"/>
              </w:rPr>
            </w:pPr>
            <w:r>
              <w:rPr>
                <w:lang w:val="fi-FI"/>
              </w:rPr>
              <w:lastRenderedPageBreak/>
              <w:t>Kotitalouskysely 2019: Korot</w:t>
            </w:r>
          </w:p>
        </w:tc>
      </w:tr>
      <w:tr w:rsidR="0000693F" w:rsidRPr="003E720F" w:rsidTr="00D56F4F">
        <w:trPr>
          <w:cantSplit/>
        </w:trPr>
        <w:tc>
          <w:tcPr>
            <w:tcW w:w="6859" w:type="dxa"/>
          </w:tcPr>
          <w:tbl>
            <w:tblPr>
              <w:tblStyle w:val="TableGrid"/>
              <w:tblW w:w="6860" w:type="dxa"/>
              <w:tblLayout w:type="fixed"/>
              <w:tblLook w:val="06A0" w:firstRow="1" w:lastRow="0" w:firstColumn="1" w:lastColumn="0" w:noHBand="1" w:noVBand="1"/>
            </w:tblPr>
            <w:tblGrid>
              <w:gridCol w:w="6860"/>
            </w:tblGrid>
            <w:tr w:rsidR="0000693F" w:rsidRPr="007D3DC8" w:rsidTr="00D56F4F">
              <w:tc>
                <w:tcPr>
                  <w:tcW w:w="6860" w:type="dxa"/>
                  <w:tcBorders>
                    <w:bottom w:val="single" w:sz="2" w:space="0" w:color="808080"/>
                  </w:tcBorders>
                </w:tcPr>
                <w:p w:rsidR="0000693F" w:rsidRPr="007D3DC8" w:rsidRDefault="0000693F" w:rsidP="00D56F4F">
                  <w:pPr>
                    <w:framePr w:hSpace="180" w:wrap="around" w:vAnchor="text" w:hAnchor="margin" w:y="-42"/>
                    <w:rPr>
                      <w:b/>
                      <w:lang w:val="fi-FI"/>
                    </w:rPr>
                  </w:pPr>
                </w:p>
              </w:tc>
            </w:tr>
            <w:tr w:rsidR="0000693F" w:rsidRPr="003E720F" w:rsidTr="00D56F4F">
              <w:tc>
                <w:tcPr>
                  <w:tcW w:w="6860" w:type="dxa"/>
                  <w:tcBorders>
                    <w:top w:val="single" w:sz="2" w:space="0" w:color="808080"/>
                  </w:tcBorders>
                </w:tcPr>
                <w:p w:rsidR="00AB7133" w:rsidRPr="004C15BB" w:rsidRDefault="00AB7133" w:rsidP="00AB7133">
                  <w:pPr>
                    <w:framePr w:hSpace="180" w:wrap="around" w:vAnchor="text" w:hAnchor="margin" w:y="-42"/>
                    <w:rPr>
                      <w:sz w:val="22"/>
                      <w:lang w:val="fi-FI"/>
                    </w:rPr>
                  </w:pPr>
                  <w:r w:rsidRPr="004C15BB">
                    <w:rPr>
                      <w:sz w:val="22"/>
                      <w:lang w:val="fi-FI"/>
                    </w:rPr>
                    <w:t>Pitkään matalana pysyvien korkojen kääntyminen nousuun ei huoleta suomalaisia, ainakaan tämän vuoden aikana. 29 prosenttia asuntolainaa maksavista suomalaisista ei ole lainkaan huolissaan korkojen noususta tänä vuonna. Pienissä määrin huolissaan 36 prosenttia.</w:t>
                  </w:r>
                  <w:r w:rsidR="004C15BB" w:rsidRPr="004C15BB">
                    <w:rPr>
                      <w:sz w:val="22"/>
                      <w:lang w:val="fi-FI"/>
                    </w:rPr>
                    <w:t xml:space="preserve"> </w:t>
                  </w:r>
                  <w:r w:rsidR="004C15BB" w:rsidRPr="004C15BB">
                    <w:rPr>
                      <w:b/>
                      <w:sz w:val="22"/>
                      <w:lang w:val="fi-FI"/>
                    </w:rPr>
                    <w:t xml:space="preserve"> </w:t>
                  </w:r>
                  <w:r w:rsidR="004C15BB" w:rsidRPr="004C15BB">
                    <w:rPr>
                      <w:sz w:val="22"/>
                      <w:lang w:val="fi-FI"/>
                    </w:rPr>
                    <w:t>Vain 11 prosenttia suomalaisista on suuressa määrin huolissaan korkojen noususta seuraavan vuoden aikana.</w:t>
                  </w:r>
                </w:p>
                <w:p w:rsidR="004C15BB" w:rsidRPr="004C15BB" w:rsidRDefault="004C15BB" w:rsidP="00AB7133">
                  <w:pPr>
                    <w:framePr w:hSpace="180" w:wrap="around" w:vAnchor="text" w:hAnchor="margin" w:y="-42"/>
                    <w:rPr>
                      <w:sz w:val="22"/>
                      <w:lang w:val="fi-FI"/>
                    </w:rPr>
                  </w:pPr>
                </w:p>
                <w:p w:rsidR="004C15BB" w:rsidRPr="004C15BB" w:rsidRDefault="004C15BB" w:rsidP="00AB7133">
                  <w:pPr>
                    <w:framePr w:hSpace="180" w:wrap="around" w:vAnchor="text" w:hAnchor="margin" w:y="-42"/>
                    <w:rPr>
                      <w:sz w:val="22"/>
                      <w:lang w:val="fi-FI"/>
                    </w:rPr>
                  </w:pPr>
                  <w:r w:rsidRPr="004C15BB">
                    <w:rPr>
                      <w:sz w:val="22"/>
                      <w:lang w:val="fi-FI"/>
                    </w:rPr>
                    <w:t>Matalasta huolitasosta huolimatta 55 prosenttia asuntolainallisista suomalaisista on varautunut korkojen nousun varalle. 26 prosenttia kertoo säästäneensä puskurin korkojen nousun varalle, 19 prosenttia on ottanut kiinteä korkoisen lainan tai korkoputken ja 12 prosenttia on maksanut lainaansa nopeammin. 24 prosenttia asuntolainallisista suomalaisista sanoo, että ei ole suojautunut korkojen nousun varalle, koska heidän lainansa on niin pieni.</w:t>
                  </w:r>
                </w:p>
                <w:p w:rsidR="004C15BB" w:rsidRPr="004C15BB" w:rsidRDefault="004C15BB" w:rsidP="00AB7133">
                  <w:pPr>
                    <w:framePr w:hSpace="180" w:wrap="around" w:vAnchor="text" w:hAnchor="margin" w:y="-42"/>
                    <w:rPr>
                      <w:sz w:val="22"/>
                      <w:lang w:val="fi-FI"/>
                    </w:rPr>
                  </w:pPr>
                </w:p>
                <w:p w:rsidR="004C15BB" w:rsidRPr="004C15BB" w:rsidRDefault="004C15BB" w:rsidP="004C15BB">
                  <w:pPr>
                    <w:rPr>
                      <w:sz w:val="22"/>
                      <w:lang w:val="fi-FI"/>
                    </w:rPr>
                  </w:pPr>
                  <w:r w:rsidRPr="004C15BB">
                    <w:rPr>
                      <w:sz w:val="22"/>
                      <w:lang w:val="fi-FI"/>
                    </w:rPr>
                    <w:t>Danske Bank tutki osana kotitalouskatsausta suomalaisten arvioita korkojen kehityksestä vuoden, kolmen vuoden ja 10 vuoden aikajänteellä. Suomalaiset ennustavat koroille jatkuvaa nousua.</w:t>
                  </w:r>
                </w:p>
                <w:p w:rsidR="004C15BB" w:rsidRPr="004C15BB" w:rsidRDefault="004C15BB" w:rsidP="004C15BB">
                  <w:pPr>
                    <w:rPr>
                      <w:sz w:val="22"/>
                      <w:lang w:val="fi-FI"/>
                    </w:rPr>
                  </w:pPr>
                </w:p>
                <w:p w:rsidR="004C15BB" w:rsidRPr="004C15BB" w:rsidRDefault="004C15BB" w:rsidP="004C15BB">
                  <w:pPr>
                    <w:rPr>
                      <w:sz w:val="22"/>
                      <w:lang w:val="fi-FI"/>
                    </w:rPr>
                  </w:pPr>
                  <w:r w:rsidRPr="004C15BB">
                    <w:rPr>
                      <w:sz w:val="22"/>
                      <w:lang w:val="fi-FI"/>
                    </w:rPr>
                    <w:t>Vuoden ennusteissa keskiarvo asettuu noin prosenttiin, kolmen vuoden ennusteissa reiluun kahteen prosenttiin ja 10 vuoden ennusteissa noin 3,5 prosenttiin.</w:t>
                  </w:r>
                </w:p>
                <w:p w:rsidR="004C15BB" w:rsidRPr="004C15BB" w:rsidRDefault="004C15BB" w:rsidP="004C15BB">
                  <w:pPr>
                    <w:rPr>
                      <w:sz w:val="22"/>
                      <w:lang w:val="fi-FI"/>
                    </w:rPr>
                  </w:pPr>
                </w:p>
                <w:p w:rsidR="004C15BB" w:rsidRPr="004C15BB" w:rsidRDefault="004C15BB" w:rsidP="004C15BB">
                  <w:pPr>
                    <w:rPr>
                      <w:sz w:val="22"/>
                      <w:lang w:val="fi-FI"/>
                    </w:rPr>
                  </w:pPr>
                  <w:r w:rsidRPr="004C15BB">
                    <w:rPr>
                      <w:sz w:val="22"/>
                      <w:lang w:val="fi-FI"/>
                    </w:rPr>
                    <w:t>Suomalaiset eivä</w:t>
                  </w:r>
                  <w:r w:rsidR="00BF0972">
                    <w:rPr>
                      <w:sz w:val="22"/>
                      <w:lang w:val="fi-FI"/>
                    </w:rPr>
                    <w:t>t yleisesti usko nykyisten nolla</w:t>
                  </w:r>
                  <w:r w:rsidRPr="004C15BB">
                    <w:rPr>
                      <w:sz w:val="22"/>
                      <w:lang w:val="fi-FI"/>
                    </w:rPr>
                    <w:t xml:space="preserve">korkojen aikojen olevan ikuisia, mutta eivät myöskään pahimpien pelkojen toteutumiseen. Vain 10 prosenttia uskoo, että korot ovat nykyisellä tasollaan vuoden päästä. Yli kahdeksan prosentin korkoihin 10 vuoden päästä uskoo taas vain 4 prosenttia suomalaisista. </w:t>
                  </w:r>
                </w:p>
                <w:p w:rsidR="004C15BB" w:rsidRDefault="004C15BB" w:rsidP="00AB7133">
                  <w:pPr>
                    <w:framePr w:hSpace="180" w:wrap="around" w:vAnchor="text" w:hAnchor="margin" w:y="-42"/>
                    <w:rPr>
                      <w:lang w:val="fi-FI"/>
                    </w:rPr>
                  </w:pPr>
                </w:p>
                <w:p w:rsidR="0000693F" w:rsidRPr="00E15F94" w:rsidRDefault="0000693F" w:rsidP="00AB7133">
                  <w:pPr>
                    <w:pStyle w:val="ListParagraph"/>
                    <w:framePr w:hSpace="180" w:wrap="around" w:vAnchor="text" w:hAnchor="margin" w:y="-42"/>
                    <w:rPr>
                      <w:lang w:val="fi-FI"/>
                    </w:rPr>
                  </w:pPr>
                </w:p>
              </w:tc>
            </w:tr>
          </w:tbl>
          <w:p w:rsidR="0000693F" w:rsidRPr="00E15F94" w:rsidRDefault="0000693F" w:rsidP="00D56F4F">
            <w:pPr>
              <w:pStyle w:val="Tableholder"/>
              <w:rPr>
                <w:lang w:val="fi-FI"/>
              </w:rPr>
            </w:pPr>
          </w:p>
        </w:tc>
      </w:tr>
      <w:tr w:rsidR="0000693F" w:rsidRPr="0050374E" w:rsidTr="00D56F4F">
        <w:trPr>
          <w:cantSplit/>
        </w:trPr>
        <w:tc>
          <w:tcPr>
            <w:tcW w:w="6859" w:type="dxa"/>
          </w:tcPr>
          <w:p w:rsidR="0000693F" w:rsidRPr="0050374E" w:rsidRDefault="0000693F" w:rsidP="00D56F4F">
            <w:pPr>
              <w:pStyle w:val="Tablesource"/>
            </w:pPr>
            <w:r w:rsidRPr="0050374E">
              <w:t>Lähde: Danske Bank, YouGov Finland</w:t>
            </w:r>
          </w:p>
        </w:tc>
      </w:tr>
    </w:tbl>
    <w:p w:rsidR="0050374E" w:rsidRPr="0000693F" w:rsidRDefault="0050374E" w:rsidP="0050374E">
      <w:pPr>
        <w:pStyle w:val="Leipis"/>
        <w:rPr>
          <w:rFonts w:ascii="Danske Text" w:hAnsi="Danske Text"/>
          <w:lang w:val="en-GB"/>
        </w:rPr>
      </w:pPr>
    </w:p>
    <w:tbl>
      <w:tblPr>
        <w:tblpPr w:leftFromText="180" w:rightFromText="180" w:vertAnchor="text" w:horzAnchor="page" w:tblpX="8145" w:tblpY="721"/>
        <w:tblW w:w="0" w:type="auto"/>
        <w:shd w:val="clear" w:color="auto" w:fill="F3F3F3"/>
        <w:tblLayout w:type="fixed"/>
        <w:tblCellMar>
          <w:left w:w="0" w:type="dxa"/>
          <w:right w:w="0" w:type="dxa"/>
        </w:tblCellMar>
        <w:tblLook w:val="01E0" w:firstRow="1" w:lastRow="1" w:firstColumn="1" w:lastColumn="1" w:noHBand="0" w:noVBand="0"/>
      </w:tblPr>
      <w:tblGrid>
        <w:gridCol w:w="3231"/>
      </w:tblGrid>
      <w:tr w:rsidR="007D3DC8" w:rsidRPr="002D5482" w:rsidTr="0018377E">
        <w:trPr>
          <w:trHeight w:hRule="exact" w:val="454"/>
        </w:trPr>
        <w:tc>
          <w:tcPr>
            <w:tcW w:w="3231" w:type="dxa"/>
            <w:shd w:val="clear" w:color="auto" w:fill="033466"/>
            <w:vAlign w:val="center"/>
          </w:tcPr>
          <w:p w:rsidR="007D3DC8" w:rsidRPr="0082238B" w:rsidRDefault="00A42D56" w:rsidP="0018377E">
            <w:pPr>
              <w:pStyle w:val="Margindatatitle"/>
              <w:framePr w:w="0" w:wrap="auto" w:vAnchor="margin" w:hAnchor="text" w:xAlign="left" w:yAlign="inline"/>
              <w:ind w:left="0"/>
              <w:rPr>
                <w:lang w:val="fi-FI"/>
              </w:rPr>
            </w:pPr>
            <w:r>
              <w:rPr>
                <w:lang w:val="fi-FI"/>
              </w:rPr>
              <w:t>Suomalaisten varallisuuden jakauma</w:t>
            </w:r>
          </w:p>
        </w:tc>
      </w:tr>
      <w:tr w:rsidR="007D3DC8" w:rsidRPr="00DE0A5F" w:rsidTr="0018377E">
        <w:trPr>
          <w:trHeight w:val="2353"/>
        </w:trPr>
        <w:tc>
          <w:tcPr>
            <w:tcW w:w="3231" w:type="dxa"/>
            <w:shd w:val="clear" w:color="auto" w:fill="F3F3F3"/>
            <w:tcMar>
              <w:top w:w="28" w:type="dxa"/>
              <w:bottom w:w="28" w:type="dxa"/>
            </w:tcMar>
          </w:tcPr>
          <w:p w:rsidR="007D3DC8" w:rsidRPr="0082238B" w:rsidRDefault="006D1F2A" w:rsidP="0018377E">
            <w:pPr>
              <w:pStyle w:val="Margindataholder"/>
              <w:framePr w:w="0" w:wrap="auto" w:vAnchor="margin" w:hAnchor="text" w:xAlign="left" w:yAlign="inline"/>
              <w:rPr>
                <w:lang w:val="fi-FI"/>
              </w:rPr>
            </w:pPr>
            <w:r w:rsidRPr="006D1F2A">
              <w:rPr>
                <w:noProof/>
              </w:rPr>
              <mc:AlternateContent>
                <mc:Choice Requires="wps">
                  <w:drawing>
                    <wp:anchor distT="45720" distB="45720" distL="114300" distR="114300" simplePos="0" relativeHeight="251664384" behindDoc="0" locked="0" layoutInCell="1" allowOverlap="1" wp14:anchorId="1AA3C0C1" wp14:editId="172674DF">
                      <wp:simplePos x="0" y="0"/>
                      <wp:positionH relativeFrom="column">
                        <wp:posOffset>-50943</wp:posOffset>
                      </wp:positionH>
                      <wp:positionV relativeFrom="paragraph">
                        <wp:posOffset>1446577</wp:posOffset>
                      </wp:positionV>
                      <wp:extent cx="1958454"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454" cy="1404620"/>
                              </a:xfrm>
                              <a:prstGeom prst="rect">
                                <a:avLst/>
                              </a:prstGeom>
                              <a:noFill/>
                              <a:ln w="9525">
                                <a:noFill/>
                                <a:miter lim="800000"/>
                                <a:headEnd/>
                                <a:tailEnd/>
                              </a:ln>
                            </wps:spPr>
                            <wps:txbx>
                              <w:txbxContent>
                                <w:p w:rsidR="006D1F2A" w:rsidRPr="0077181C" w:rsidRDefault="006D1F2A" w:rsidP="006D1F2A">
                                  <w:pPr>
                                    <w:rPr>
                                      <w:b/>
                                      <w:sz w:val="14"/>
                                      <w:szCs w:val="14"/>
                                    </w:rPr>
                                  </w:pPr>
                                  <w:r w:rsidRPr="0077181C">
                                    <w:rPr>
                                      <w:b/>
                                      <w:sz w:val="14"/>
                                      <w:szCs w:val="14"/>
                                    </w:rPr>
                                    <w:t>Lähde: Tilastokeskus</w:t>
                                  </w:r>
                                  <w:r w:rsidR="0065152E" w:rsidRPr="0077181C">
                                    <w:rPr>
                                      <w:b/>
                                      <w:sz w:val="14"/>
                                      <w:szCs w:val="14"/>
                                    </w:rPr>
                                    <w:t xml:space="preserve">, </w:t>
                                  </w:r>
                                  <w:r w:rsidR="0077181C" w:rsidRPr="0077181C">
                                    <w:rPr>
                                      <w:b/>
                                      <w:sz w:val="14"/>
                                      <w:szCs w:val="14"/>
                                    </w:rPr>
                                    <w:t>tilastovuosi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A3C0C1" id="_x0000_s1027" type="#_x0000_t202" style="position:absolute;left:0;text-align:left;margin-left:-4pt;margin-top:113.9pt;width:154.2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" filled="f" stroked="f">
                      <v:textbox style="mso-fit-shape-to-text:t">
                        <w:txbxContent>
                          <w:p w:rsidR="006D1F2A" w:rsidRPr="0077181C" w:rsidRDefault="006D1F2A" w:rsidP="006D1F2A">
                            <w:pPr>
                              <w:rPr>
                                <w:b/>
                                <w:sz w:val="14"/>
                                <w:szCs w:val="14"/>
                              </w:rPr>
                            </w:pPr>
                            <w:proofErr w:type="spellStart"/>
                            <w:r w:rsidRPr="0077181C">
                              <w:rPr>
                                <w:b/>
                                <w:sz w:val="14"/>
                                <w:szCs w:val="14"/>
                              </w:rPr>
                              <w:t>Lähde</w:t>
                            </w:r>
                            <w:proofErr w:type="spellEnd"/>
                            <w:r w:rsidRPr="0077181C">
                              <w:rPr>
                                <w:b/>
                                <w:sz w:val="14"/>
                                <w:szCs w:val="14"/>
                              </w:rPr>
                              <w:t xml:space="preserve">: </w:t>
                            </w:r>
                            <w:proofErr w:type="spellStart"/>
                            <w:r w:rsidRPr="0077181C">
                              <w:rPr>
                                <w:b/>
                                <w:sz w:val="14"/>
                                <w:szCs w:val="14"/>
                              </w:rPr>
                              <w:t>Tilastokeskus</w:t>
                            </w:r>
                            <w:proofErr w:type="spellEnd"/>
                            <w:r w:rsidR="0065152E" w:rsidRPr="0077181C">
                              <w:rPr>
                                <w:b/>
                                <w:sz w:val="14"/>
                                <w:szCs w:val="14"/>
                              </w:rPr>
                              <w:t xml:space="preserve">, </w:t>
                            </w:r>
                            <w:proofErr w:type="spellStart"/>
                            <w:r w:rsidR="0077181C" w:rsidRPr="0077181C">
                              <w:rPr>
                                <w:b/>
                                <w:sz w:val="14"/>
                                <w:szCs w:val="14"/>
                              </w:rPr>
                              <w:t>tilastovuosi</w:t>
                            </w:r>
                            <w:proofErr w:type="spellEnd"/>
                            <w:r w:rsidR="0077181C" w:rsidRPr="0077181C">
                              <w:rPr>
                                <w:b/>
                                <w:sz w:val="14"/>
                                <w:szCs w:val="14"/>
                              </w:rPr>
                              <w:t xml:space="preserve"> 2016</w:t>
                            </w:r>
                          </w:p>
                        </w:txbxContent>
                      </v:textbox>
                    </v:shape>
                  </w:pict>
                </mc:Fallback>
              </mc:AlternateContent>
            </w:r>
            <w:r w:rsidR="0077181C">
              <w:rPr>
                <w:noProof/>
              </w:rPr>
              <w:drawing>
                <wp:inline distT="0" distB="0" distL="0" distR="0" wp14:anchorId="6E4455C0">
                  <wp:extent cx="2083541"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83541" cy="1440000"/>
                          </a:xfrm>
                          <a:prstGeom prst="rect">
                            <a:avLst/>
                          </a:prstGeom>
                          <a:noFill/>
                        </pic:spPr>
                      </pic:pic>
                    </a:graphicData>
                  </a:graphic>
                </wp:inline>
              </w:drawing>
            </w:r>
          </w:p>
        </w:tc>
      </w:tr>
    </w:tbl>
    <w:p w:rsidR="00B65F93" w:rsidRPr="0037214C" w:rsidRDefault="00431FF5" w:rsidP="00B65F93">
      <w:pPr>
        <w:pStyle w:val="Valiotsikot"/>
        <w:rPr>
          <w:rFonts w:ascii="Danske Text" w:hAnsi="Danske Text"/>
          <w:sz w:val="28"/>
          <w:szCs w:val="28"/>
          <w:lang w:val="fi-FI"/>
        </w:rPr>
      </w:pPr>
      <w:r>
        <w:rPr>
          <w:rFonts w:ascii="Danske Text" w:hAnsi="Danske Text"/>
          <w:sz w:val="28"/>
          <w:szCs w:val="28"/>
          <w:lang w:val="fi-FI"/>
        </w:rPr>
        <w:t>Kotitalouksien</w:t>
      </w:r>
      <w:r w:rsidR="006D1F2A">
        <w:rPr>
          <w:rFonts w:ascii="Danske Text" w:hAnsi="Danske Text"/>
          <w:sz w:val="28"/>
          <w:szCs w:val="28"/>
          <w:lang w:val="fi-FI"/>
        </w:rPr>
        <w:t xml:space="preserve"> varallisuus </w:t>
      </w:r>
      <w:r>
        <w:rPr>
          <w:rFonts w:ascii="Danske Text" w:hAnsi="Danske Text"/>
          <w:sz w:val="28"/>
          <w:szCs w:val="28"/>
          <w:lang w:val="fi-FI"/>
        </w:rPr>
        <w:t>asunnoissa</w:t>
      </w:r>
    </w:p>
    <w:p w:rsidR="00696B7C" w:rsidRDefault="00696B7C" w:rsidP="00B65F93">
      <w:pPr>
        <w:pStyle w:val="Leipis"/>
        <w:rPr>
          <w:rFonts w:ascii="Danske Text" w:hAnsi="Danske Text"/>
        </w:rPr>
      </w:pPr>
      <w:r>
        <w:rPr>
          <w:rFonts w:ascii="Danske Text" w:hAnsi="Danske Text"/>
        </w:rPr>
        <w:t>Suoma</w:t>
      </w:r>
      <w:r w:rsidR="00BA5E41">
        <w:rPr>
          <w:rFonts w:ascii="Danske Text" w:hAnsi="Danske Text"/>
        </w:rPr>
        <w:t>laisten kotitalouksien</w:t>
      </w:r>
      <w:r w:rsidR="004B53FA">
        <w:rPr>
          <w:rFonts w:ascii="Danske Text" w:hAnsi="Danske Text"/>
        </w:rPr>
        <w:t xml:space="preserve"> </w:t>
      </w:r>
      <w:r w:rsidR="00BA5E41">
        <w:rPr>
          <w:rFonts w:ascii="Danske Text" w:hAnsi="Danske Text"/>
        </w:rPr>
        <w:t>yks</w:t>
      </w:r>
      <w:r w:rsidR="0077181C">
        <w:rPr>
          <w:rFonts w:ascii="Danske Text" w:hAnsi="Danske Text"/>
        </w:rPr>
        <w:t>ityisestä varallisuudesta noin kaksi kolmasosaa</w:t>
      </w:r>
      <w:r>
        <w:rPr>
          <w:rFonts w:ascii="Danske Text" w:hAnsi="Danske Text"/>
        </w:rPr>
        <w:t xml:space="preserve"> on kiinni asunnoissa. Asuntojen hintojen kehityksellä on siten suuri merkitys suomalaisten varallisuusasemaan, vaikka asia tyypillisesti konkretisoituukin </w:t>
      </w:r>
      <w:r w:rsidR="00740745">
        <w:rPr>
          <w:rFonts w:ascii="Danske Text" w:hAnsi="Danske Text"/>
        </w:rPr>
        <w:t xml:space="preserve">vasta siinä vaiheessa, kun </w:t>
      </w:r>
      <w:r>
        <w:rPr>
          <w:rFonts w:ascii="Danske Text" w:hAnsi="Danske Text"/>
        </w:rPr>
        <w:t>kotia ollaan myymässä</w:t>
      </w:r>
      <w:r w:rsidR="00740745">
        <w:rPr>
          <w:rFonts w:ascii="Danske Text" w:hAnsi="Danske Text"/>
        </w:rPr>
        <w:t xml:space="preserve"> joko itse tai perikunnan toimesta</w:t>
      </w:r>
      <w:r>
        <w:rPr>
          <w:rFonts w:ascii="Danske Text" w:hAnsi="Danske Text"/>
        </w:rPr>
        <w:t xml:space="preserve">. </w:t>
      </w:r>
      <w:r w:rsidR="00BA5E41">
        <w:rPr>
          <w:rFonts w:ascii="Danske Text" w:hAnsi="Danske Text"/>
        </w:rPr>
        <w:t xml:space="preserve">Toisen merkittävän </w:t>
      </w:r>
      <w:r w:rsidR="00903504">
        <w:rPr>
          <w:rFonts w:ascii="Danske Text" w:hAnsi="Danske Text"/>
        </w:rPr>
        <w:t xml:space="preserve">suomalaisen </w:t>
      </w:r>
      <w:r w:rsidR="00BA5E41">
        <w:rPr>
          <w:rFonts w:ascii="Danske Text" w:hAnsi="Danske Text"/>
        </w:rPr>
        <w:t>varallisuuskertymän muodostavat rahastoidut työeläkkeet, mutta ne luokitellaan julkiseksi varallisuudeksi, e</w:t>
      </w:r>
      <w:r w:rsidR="00903504">
        <w:rPr>
          <w:rFonts w:ascii="Danske Text" w:hAnsi="Danske Text"/>
        </w:rPr>
        <w:t>i kotitalouksien taseeseen</w:t>
      </w:r>
      <w:r w:rsidR="00BA5E41">
        <w:rPr>
          <w:rFonts w:ascii="Danske Text" w:hAnsi="Danske Text"/>
        </w:rPr>
        <w:t>.</w:t>
      </w:r>
      <w:r w:rsidR="00A947AC">
        <w:rPr>
          <w:rFonts w:ascii="Danske Text" w:hAnsi="Danske Text"/>
        </w:rPr>
        <w:t xml:space="preserve"> Käytännössä niitä ei myöskään pysty vapaasti hyödyntämään omien toiveittensa mukaan.</w:t>
      </w:r>
    </w:p>
    <w:p w:rsidR="00355294" w:rsidRDefault="00B65F93" w:rsidP="00137B65">
      <w:pPr>
        <w:pStyle w:val="Leipis"/>
        <w:rPr>
          <w:rFonts w:ascii="Danske Text" w:hAnsi="Danske Text"/>
        </w:rPr>
      </w:pPr>
      <w:r w:rsidRPr="00226024">
        <w:rPr>
          <w:rFonts w:ascii="Danske Text" w:hAnsi="Danske Text"/>
        </w:rPr>
        <w:t xml:space="preserve">Asuntojen hinnat ovat koko maan tasolla </w:t>
      </w:r>
      <w:r w:rsidR="00740745">
        <w:rPr>
          <w:rFonts w:ascii="Danske Text" w:hAnsi="Danske Text"/>
        </w:rPr>
        <w:t xml:space="preserve">kehittyneet aneemisesti </w:t>
      </w:r>
      <w:r w:rsidRPr="00226024">
        <w:rPr>
          <w:rFonts w:ascii="Danske Text" w:hAnsi="Danske Text"/>
        </w:rPr>
        <w:t xml:space="preserve">jo </w:t>
      </w:r>
      <w:r>
        <w:rPr>
          <w:rFonts w:ascii="Danske Text" w:hAnsi="Danske Text"/>
        </w:rPr>
        <w:t>useamman</w:t>
      </w:r>
      <w:r w:rsidR="00740745">
        <w:rPr>
          <w:rFonts w:ascii="Danske Text" w:hAnsi="Danske Text"/>
        </w:rPr>
        <w:t xml:space="preserve"> vuoden ajan. Vielä 2000-luvun alkupuolella hintakehitys oli </w:t>
      </w:r>
      <w:r w:rsidR="00431FF5">
        <w:rPr>
          <w:rFonts w:ascii="Danske Text" w:hAnsi="Danske Text"/>
        </w:rPr>
        <w:t xml:space="preserve">vauhdikkaampaa ja </w:t>
      </w:r>
      <w:r w:rsidR="00740745">
        <w:rPr>
          <w:rFonts w:ascii="Danske Text" w:hAnsi="Danske Text"/>
        </w:rPr>
        <w:t>huomattavasti</w:t>
      </w:r>
      <w:r w:rsidR="00C41F25">
        <w:rPr>
          <w:rFonts w:ascii="Danske Text" w:hAnsi="Danske Text"/>
        </w:rPr>
        <w:t xml:space="preserve"> tasaisempaa eri puolella maata</w:t>
      </w:r>
      <w:r w:rsidR="00740745">
        <w:rPr>
          <w:rFonts w:ascii="Danske Text" w:hAnsi="Danske Text"/>
        </w:rPr>
        <w:t xml:space="preserve">. Finanssikriisin jälkeen hinnat ovat nousseet </w:t>
      </w:r>
      <w:r w:rsidR="00740745">
        <w:rPr>
          <w:rFonts w:ascii="Danske Text" w:hAnsi="Danske Text"/>
        </w:rPr>
        <w:lastRenderedPageBreak/>
        <w:t>vain kasvuk</w:t>
      </w:r>
      <w:r w:rsidR="00A947AC">
        <w:rPr>
          <w:rFonts w:ascii="Danske Text" w:hAnsi="Danske Text"/>
        </w:rPr>
        <w:t>eskuksissa, kun muuttotappiopaikkakunnilla</w:t>
      </w:r>
      <w:r w:rsidR="00740745">
        <w:rPr>
          <w:rFonts w:ascii="Danske Text" w:hAnsi="Danske Text"/>
        </w:rPr>
        <w:t xml:space="preserve"> ne ovat laskeneet tai pysyneet pakallaan. Myös paikallisesti asuntomarkkinat ovat jakautuneet mo</w:t>
      </w:r>
      <w:r w:rsidR="00355294">
        <w:rPr>
          <w:rFonts w:ascii="Danske Text" w:hAnsi="Danske Text"/>
        </w:rPr>
        <w:t>nessa kaupungissa alueellisesti siten, että kantakaupungin tuntumassa hintakehitys on ollut huomattavasti laita-alueita ripeämpää.</w:t>
      </w:r>
      <w:r w:rsidR="00C41F25">
        <w:rPr>
          <w:rFonts w:ascii="Danske Text" w:hAnsi="Danske Text"/>
        </w:rPr>
        <w:t xml:space="preserve"> Postinumerolla on ratkaiseva merkitys.</w:t>
      </w:r>
    </w:p>
    <w:tbl>
      <w:tblPr>
        <w:tblpPr w:leftFromText="180" w:rightFromText="180" w:vertAnchor="text" w:horzAnchor="page" w:tblpX="8315" w:tblpY="974"/>
        <w:tblW w:w="0" w:type="auto"/>
        <w:shd w:val="clear" w:color="auto" w:fill="F3F3F3"/>
        <w:tblLayout w:type="fixed"/>
        <w:tblCellMar>
          <w:left w:w="0" w:type="dxa"/>
          <w:right w:w="0" w:type="dxa"/>
        </w:tblCellMar>
        <w:tblLook w:val="01E0" w:firstRow="1" w:lastRow="1" w:firstColumn="1" w:lastColumn="1" w:noHBand="0" w:noVBand="0"/>
      </w:tblPr>
      <w:tblGrid>
        <w:gridCol w:w="3119"/>
      </w:tblGrid>
      <w:tr w:rsidR="0018377E" w:rsidRPr="000F7876" w:rsidTr="0018377E">
        <w:trPr>
          <w:trHeight w:hRule="exact" w:val="454"/>
        </w:trPr>
        <w:tc>
          <w:tcPr>
            <w:tcW w:w="3119" w:type="dxa"/>
            <w:shd w:val="clear" w:color="auto" w:fill="033466"/>
            <w:vAlign w:val="center"/>
          </w:tcPr>
          <w:p w:rsidR="0018377E" w:rsidRPr="0082238B" w:rsidRDefault="0018377E" w:rsidP="0018377E">
            <w:pPr>
              <w:pStyle w:val="Margindatatitle"/>
              <w:framePr w:w="0" w:wrap="auto" w:vAnchor="margin" w:hAnchor="text" w:xAlign="left" w:yAlign="inline"/>
              <w:rPr>
                <w:lang w:val="fi-FI"/>
              </w:rPr>
            </w:pPr>
            <w:r>
              <w:rPr>
                <w:lang w:val="fi-FI"/>
              </w:rPr>
              <w:t>Talletusten reaalituotto miinuksella</w:t>
            </w:r>
          </w:p>
        </w:tc>
      </w:tr>
      <w:tr w:rsidR="0018377E" w:rsidRPr="000F7876" w:rsidTr="0018377E">
        <w:tc>
          <w:tcPr>
            <w:tcW w:w="3119" w:type="dxa"/>
            <w:shd w:val="clear" w:color="auto" w:fill="F3F3F3"/>
            <w:tcMar>
              <w:top w:w="28" w:type="dxa"/>
              <w:bottom w:w="28" w:type="dxa"/>
            </w:tcMar>
          </w:tcPr>
          <w:p w:rsidR="0018377E" w:rsidRPr="00A850EC" w:rsidRDefault="00555D0F" w:rsidP="0018377E">
            <w:pPr>
              <w:pStyle w:val="Margindataholder"/>
              <w:framePr w:w="0" w:wrap="auto" w:vAnchor="margin" w:hAnchor="text" w:xAlign="left" w:yAlign="inline"/>
              <w:rPr>
                <w:lang w:val="en-US"/>
              </w:rPr>
            </w:pPr>
            <w:r>
              <w:object w:dxaOrig="9000" w:dyaOrig="7500">
                <v:shape id="_x0000_i1033" type="#_x0000_t75" style="width:155.7pt;height:130.15pt" o:ole="">
                  <v:imagedata r:id="rId26" o:title=""/>
                </v:shape>
                <o:OLEObject Type="Embed" ProgID="Mbnd.mbnd" ShapeID="_x0000_i1033" DrawAspect="Content" ObjectID="_1609667257" r:id="rId27"/>
              </w:object>
            </w:r>
          </w:p>
        </w:tc>
      </w:tr>
    </w:tbl>
    <w:p w:rsidR="00137B65" w:rsidRDefault="00355294" w:rsidP="00137B65">
      <w:pPr>
        <w:pStyle w:val="Leipis"/>
        <w:rPr>
          <w:rFonts w:ascii="Danske Text" w:hAnsi="Danske Text"/>
        </w:rPr>
      </w:pPr>
      <w:r>
        <w:rPr>
          <w:rFonts w:ascii="Danske Text" w:hAnsi="Danske Text"/>
        </w:rPr>
        <w:t xml:space="preserve">Vuonna 2019 asuntojen </w:t>
      </w:r>
      <w:r w:rsidR="002B4C48">
        <w:rPr>
          <w:rFonts w:ascii="Danske Text" w:hAnsi="Danske Text"/>
        </w:rPr>
        <w:t>keskihintojen nousun</w:t>
      </w:r>
      <w:r>
        <w:rPr>
          <w:rFonts w:ascii="Danske Text" w:hAnsi="Danske Text"/>
        </w:rPr>
        <w:t xml:space="preserve"> ennakoidaan hidastuvan entisestään. Alueellinen polarisaatio jatkuu edelleen, ja lisäksi uusien asuntojen runsas tarjonta jarruttaa asuntojen hintojen nousua myös pääkaupunkiseudulla ja muissa keskuksissa.</w:t>
      </w:r>
      <w:r w:rsidR="0001446C">
        <w:rPr>
          <w:rFonts w:ascii="Danske Text" w:hAnsi="Danske Text"/>
        </w:rPr>
        <w:t xml:space="preserve"> Viime vuosi näyttäisi muodostuneen asuntomarkkinoilla yllättävänkin vaisuksi kotitalouksien ostovoiman noususta huolimatta. Vuonna 2019 </w:t>
      </w:r>
      <w:r w:rsidR="00137B65">
        <w:rPr>
          <w:rFonts w:ascii="Danske Text" w:hAnsi="Danske Text"/>
        </w:rPr>
        <w:t>odotamme asuntojen hint</w:t>
      </w:r>
      <w:r w:rsidR="0001446C">
        <w:rPr>
          <w:rFonts w:ascii="Danske Text" w:hAnsi="Danske Text"/>
        </w:rPr>
        <w:t>ojen nousevan vain 0,5 prosenttia</w:t>
      </w:r>
      <w:r w:rsidR="00137B65">
        <w:rPr>
          <w:rFonts w:ascii="Danske Text" w:hAnsi="Danske Text"/>
        </w:rPr>
        <w:t>.</w:t>
      </w:r>
      <w:r w:rsidR="00431FF5">
        <w:rPr>
          <w:rFonts w:ascii="Danske Text" w:hAnsi="Danske Text"/>
        </w:rPr>
        <w:t xml:space="preserve"> Keskimäärin a</w:t>
      </w:r>
      <w:r w:rsidR="002B4C48">
        <w:rPr>
          <w:rFonts w:ascii="Danske Text" w:hAnsi="Danske Text"/>
        </w:rPr>
        <w:t>suntojen hinnat nousevat siis yl</w:t>
      </w:r>
      <w:r w:rsidR="00306786">
        <w:rPr>
          <w:rFonts w:ascii="Danske Text" w:hAnsi="Danske Text"/>
        </w:rPr>
        <w:t>eisiä kuluttajahintoja vähemmän</w:t>
      </w:r>
      <w:r w:rsidR="002B4C48">
        <w:rPr>
          <w:rFonts w:ascii="Danske Text" w:hAnsi="Danske Text"/>
        </w:rPr>
        <w:t xml:space="preserve"> ja alenevat suhteessa keskipalkkoihin.</w:t>
      </w:r>
      <w:r w:rsidR="00137B65">
        <w:rPr>
          <w:rFonts w:ascii="Danske Text" w:hAnsi="Danske Text"/>
        </w:rPr>
        <w:t xml:space="preserve"> </w:t>
      </w:r>
    </w:p>
    <w:p w:rsidR="00320262" w:rsidRDefault="004B216A" w:rsidP="00E91EB5">
      <w:pPr>
        <w:pStyle w:val="Leipis"/>
        <w:rPr>
          <w:rFonts w:ascii="Danske Text" w:hAnsi="Danske Text"/>
        </w:rPr>
      </w:pPr>
      <w:r>
        <w:rPr>
          <w:rFonts w:ascii="Danske Text" w:hAnsi="Danske Text"/>
        </w:rPr>
        <w:t xml:space="preserve">Väestörakenteen muutos ja </w:t>
      </w:r>
      <w:r w:rsidR="00696B7C">
        <w:rPr>
          <w:rFonts w:ascii="Danske Text" w:hAnsi="Danske Text"/>
        </w:rPr>
        <w:t>työpaikat ajavat</w:t>
      </w:r>
      <w:r>
        <w:rPr>
          <w:rFonts w:ascii="Danske Text" w:hAnsi="Danske Text"/>
        </w:rPr>
        <w:t xml:space="preserve"> ihmisiä kasvukeskuksiin, mikä on näkynyt pienempien </w:t>
      </w:r>
      <w:r w:rsidR="00E91EB5">
        <w:rPr>
          <w:rFonts w:ascii="Danske Text" w:hAnsi="Danske Text"/>
        </w:rPr>
        <w:t>asuntojen ja kerrostalojen positiivisempana hintakehityksenä. Tämä kehityssuunta tullee jatkumaan. Suomen asuntomarkkinoiden j</w:t>
      </w:r>
      <w:r w:rsidR="00320262">
        <w:rPr>
          <w:rFonts w:ascii="Danske Text" w:hAnsi="Danske Text"/>
        </w:rPr>
        <w:t>akautuminen kasvaviin ja taantuv</w:t>
      </w:r>
      <w:r w:rsidR="00E91EB5">
        <w:rPr>
          <w:rFonts w:ascii="Danske Text" w:hAnsi="Danske Text"/>
        </w:rPr>
        <w:t>iin a</w:t>
      </w:r>
      <w:r w:rsidR="0012204B">
        <w:rPr>
          <w:rFonts w:ascii="Danske Text" w:hAnsi="Danske Text"/>
        </w:rPr>
        <w:t xml:space="preserve">lueisiin on tullut jäädäkseen, eikä asunto </w:t>
      </w:r>
      <w:r w:rsidR="00E91EB5">
        <w:rPr>
          <w:rFonts w:ascii="Danske Text" w:hAnsi="Danske Text"/>
        </w:rPr>
        <w:t>ole enää ”varma” si</w:t>
      </w:r>
      <w:r w:rsidR="0012204B">
        <w:rPr>
          <w:rFonts w:ascii="Danske Text" w:hAnsi="Danske Text"/>
        </w:rPr>
        <w:t>joituskohde. T</w:t>
      </w:r>
      <w:r w:rsidR="00E91EB5">
        <w:rPr>
          <w:rFonts w:ascii="Danske Text" w:hAnsi="Danske Text"/>
        </w:rPr>
        <w:t>aloudellista tuskaa</w:t>
      </w:r>
      <w:r w:rsidR="0012204B">
        <w:rPr>
          <w:rFonts w:ascii="Danske Text" w:hAnsi="Danske Text"/>
        </w:rPr>
        <w:t xml:space="preserve"> voi aiheutua, jos oma varallisuus on</w:t>
      </w:r>
      <w:r w:rsidR="00E91EB5">
        <w:rPr>
          <w:rFonts w:ascii="Danske Text" w:hAnsi="Danske Text"/>
        </w:rPr>
        <w:t xml:space="preserve"> sidottu kohteeseen, jonka arvo on pudonnut tai sille ei löydy ostajaa ollenkaan.</w:t>
      </w:r>
    </w:p>
    <w:tbl>
      <w:tblPr>
        <w:tblpPr w:leftFromText="180" w:rightFromText="180" w:vertAnchor="text" w:horzAnchor="page" w:tblpX="8303" w:tblpY="1105"/>
        <w:tblW w:w="0" w:type="auto"/>
        <w:shd w:val="clear" w:color="auto" w:fill="F3F3F3"/>
        <w:tblLayout w:type="fixed"/>
        <w:tblCellMar>
          <w:left w:w="0" w:type="dxa"/>
          <w:right w:w="0" w:type="dxa"/>
        </w:tblCellMar>
        <w:tblLook w:val="01E0" w:firstRow="1" w:lastRow="1" w:firstColumn="1" w:lastColumn="1" w:noHBand="0" w:noVBand="0"/>
      </w:tblPr>
      <w:tblGrid>
        <w:gridCol w:w="3119"/>
      </w:tblGrid>
      <w:tr w:rsidR="0018377E" w:rsidRPr="000F7876" w:rsidTr="0018377E">
        <w:trPr>
          <w:trHeight w:hRule="exact" w:val="454"/>
        </w:trPr>
        <w:tc>
          <w:tcPr>
            <w:tcW w:w="3119" w:type="dxa"/>
            <w:shd w:val="clear" w:color="auto" w:fill="033466"/>
            <w:vAlign w:val="center"/>
          </w:tcPr>
          <w:p w:rsidR="0018377E" w:rsidRPr="0082238B" w:rsidRDefault="0018377E" w:rsidP="0018377E">
            <w:pPr>
              <w:pStyle w:val="Margindatatitle"/>
              <w:framePr w:w="0" w:wrap="auto" w:vAnchor="margin" w:hAnchor="text" w:xAlign="left" w:yAlign="inline"/>
              <w:rPr>
                <w:lang w:val="fi-FI"/>
              </w:rPr>
            </w:pPr>
            <w:r>
              <w:rPr>
                <w:lang w:val="fi-FI"/>
              </w:rPr>
              <w:t>Osakkeissa nähtiin notkahdus 2018</w:t>
            </w:r>
          </w:p>
        </w:tc>
      </w:tr>
      <w:tr w:rsidR="0018377E" w:rsidRPr="000F7876" w:rsidTr="0018377E">
        <w:tc>
          <w:tcPr>
            <w:tcW w:w="3119" w:type="dxa"/>
            <w:shd w:val="clear" w:color="auto" w:fill="F3F3F3"/>
            <w:tcMar>
              <w:top w:w="28" w:type="dxa"/>
              <w:bottom w:w="28" w:type="dxa"/>
            </w:tcMar>
          </w:tcPr>
          <w:p w:rsidR="0018377E" w:rsidRPr="00A850EC" w:rsidRDefault="00555D0F" w:rsidP="0018377E">
            <w:pPr>
              <w:pStyle w:val="Margindataholder"/>
              <w:framePr w:w="0" w:wrap="auto" w:vAnchor="margin" w:hAnchor="text" w:xAlign="left" w:yAlign="inline"/>
              <w:rPr>
                <w:lang w:val="en-US"/>
              </w:rPr>
            </w:pPr>
            <w:r>
              <w:object w:dxaOrig="9000" w:dyaOrig="7500">
                <v:shape id="_x0000_i1034" type="#_x0000_t75" style="width:155.7pt;height:130.15pt" o:ole="">
                  <v:imagedata r:id="rId28" o:title=""/>
                </v:shape>
                <o:OLEObject Type="Embed" ProgID="Mbnd.mbnd" ShapeID="_x0000_i1034" DrawAspect="Content" ObjectID="_1609667258" r:id="rId29"/>
              </w:object>
            </w:r>
          </w:p>
        </w:tc>
      </w:tr>
    </w:tbl>
    <w:p w:rsidR="00137B65" w:rsidRPr="00431FF5" w:rsidRDefault="00320262" w:rsidP="00431FF5">
      <w:pPr>
        <w:pStyle w:val="Leipis"/>
        <w:rPr>
          <w:rFonts w:ascii="Danske Text" w:hAnsi="Danske Text"/>
        </w:rPr>
      </w:pPr>
      <w:r>
        <w:rPr>
          <w:rFonts w:ascii="Danske Text" w:hAnsi="Danske Text"/>
        </w:rPr>
        <w:t>Rahoitusvarojen osalta valtaosa suomalaisten säästöistä ja sijoituksista on talletuksissa. Siinä missä matala korkotaso helpottaa velallis</w:t>
      </w:r>
      <w:r w:rsidR="00BA5E41">
        <w:rPr>
          <w:rFonts w:ascii="Danske Text" w:hAnsi="Danske Text"/>
        </w:rPr>
        <w:t xml:space="preserve">ten elämää, aiheuttaa se </w:t>
      </w:r>
      <w:r>
        <w:rPr>
          <w:rFonts w:ascii="Danske Text" w:hAnsi="Danske Text"/>
        </w:rPr>
        <w:t>päänvaivaa tallettajille. Talletuska</w:t>
      </w:r>
      <w:r w:rsidR="00BF6DD3">
        <w:rPr>
          <w:rFonts w:ascii="Danske Text" w:hAnsi="Danske Text"/>
        </w:rPr>
        <w:t>nnan keskikorko on laskenut 0,12</w:t>
      </w:r>
      <w:r>
        <w:rPr>
          <w:rFonts w:ascii="Danske Text" w:hAnsi="Danske Text"/>
        </w:rPr>
        <w:t xml:space="preserve"> prosenttiin</w:t>
      </w:r>
      <w:r w:rsidR="00BA5E41">
        <w:rPr>
          <w:rFonts w:ascii="Danske Text" w:hAnsi="Danske Text"/>
        </w:rPr>
        <w:t>,</w:t>
      </w:r>
      <w:r>
        <w:rPr>
          <w:rFonts w:ascii="Danske Text" w:hAnsi="Danske Text"/>
        </w:rPr>
        <w:t xml:space="preserve"> ja ta</w:t>
      </w:r>
      <w:r w:rsidR="00BA5E41">
        <w:rPr>
          <w:rFonts w:ascii="Danske Text" w:hAnsi="Danske Text"/>
        </w:rPr>
        <w:t xml:space="preserve">lletusten reaalinen tuotto on </w:t>
      </w:r>
      <w:r w:rsidR="00EF6AD2">
        <w:rPr>
          <w:rFonts w:ascii="Danske Text" w:hAnsi="Danske Text"/>
        </w:rPr>
        <w:t xml:space="preserve">lähes </w:t>
      </w:r>
      <w:r w:rsidR="00BA5E41">
        <w:rPr>
          <w:rFonts w:ascii="Danske Text" w:hAnsi="Danske Text"/>
        </w:rPr>
        <w:t>inflaation verran pakkasella</w:t>
      </w:r>
      <w:r>
        <w:rPr>
          <w:rFonts w:ascii="Danske Text" w:hAnsi="Danske Text"/>
        </w:rPr>
        <w:t>.</w:t>
      </w:r>
      <w:r w:rsidR="00EF6AD2">
        <w:rPr>
          <w:rFonts w:ascii="Danske Text" w:hAnsi="Danske Text"/>
        </w:rPr>
        <w:t xml:space="preserve"> Yön yli –talletuksi</w:t>
      </w:r>
      <w:r w:rsidR="00A947AC">
        <w:rPr>
          <w:rFonts w:ascii="Danske Text" w:hAnsi="Danske Text"/>
        </w:rPr>
        <w:t>sta ei korkoa käytännössä saa. Jopa u</w:t>
      </w:r>
      <w:r w:rsidR="00EF6AD2">
        <w:rPr>
          <w:rFonts w:ascii="Danske Text" w:hAnsi="Danske Text"/>
        </w:rPr>
        <w:t xml:space="preserve">usien määräaikaisten talletusten keskikorko oli lokakuussa 2018 </w:t>
      </w:r>
      <w:r w:rsidR="00A947AC">
        <w:rPr>
          <w:rFonts w:ascii="Danske Text" w:hAnsi="Danske Text"/>
        </w:rPr>
        <w:t xml:space="preserve">enää </w:t>
      </w:r>
      <w:r w:rsidR="00EF6AD2">
        <w:rPr>
          <w:rFonts w:ascii="Danske Text" w:hAnsi="Danske Text"/>
        </w:rPr>
        <w:t xml:space="preserve">0,28 prosenttia. </w:t>
      </w:r>
      <w:r>
        <w:rPr>
          <w:rFonts w:ascii="Danske Text" w:hAnsi="Danske Text"/>
        </w:rPr>
        <w:t>Talletuksi</w:t>
      </w:r>
      <w:r w:rsidR="00306786">
        <w:rPr>
          <w:rFonts w:ascii="Danske Text" w:hAnsi="Danske Text"/>
        </w:rPr>
        <w:t xml:space="preserve">ssa </w:t>
      </w:r>
      <w:r w:rsidR="00431FF5">
        <w:rPr>
          <w:rFonts w:ascii="Danske Text" w:hAnsi="Danske Text"/>
        </w:rPr>
        <w:t xml:space="preserve">varojen arvo siis </w:t>
      </w:r>
      <w:r>
        <w:rPr>
          <w:rFonts w:ascii="Danske Text" w:hAnsi="Danske Text"/>
        </w:rPr>
        <w:t>menettää ostovoimaansa. Pidempiaikaiselle varallisuudelle kannattaakin miettiä tuottavampia säästökohteita.</w:t>
      </w:r>
      <w:r w:rsidR="00306786">
        <w:rPr>
          <w:rFonts w:ascii="Danske Text" w:hAnsi="Danske Text"/>
        </w:rPr>
        <w:t xml:space="preserve"> Käytännössä se tarkoittaa </w:t>
      </w:r>
      <w:r>
        <w:rPr>
          <w:rFonts w:ascii="Danske Text" w:hAnsi="Danske Text"/>
        </w:rPr>
        <w:t>sitä, että säästäjän tulee hyväksyä jonkin verran riskiä sijoituksissaan, esimerkiksi osakesijoitusten määrää lisäämällä.</w:t>
      </w:r>
    </w:p>
    <w:p w:rsidR="00285BDF" w:rsidRDefault="00217F58" w:rsidP="00CF14DA">
      <w:pPr>
        <w:pStyle w:val="Leipis"/>
        <w:rPr>
          <w:rFonts w:ascii="Danske Text" w:hAnsi="Danske Text"/>
        </w:rPr>
      </w:pPr>
      <w:r>
        <w:rPr>
          <w:rFonts w:ascii="Danske Text" w:hAnsi="Danske Text"/>
        </w:rPr>
        <w:t xml:space="preserve">Osakemarkkinoilla nähtiin viime vuonna pitkästä aikaa myrskyisä vuosi, kun kurssit tulivat rytisemällä alas loppuvuodesta. Pidemmällä aikavälillä ovat tuotot olleet silti hyviä. </w:t>
      </w:r>
      <w:r w:rsidR="00387376">
        <w:rPr>
          <w:rFonts w:ascii="Danske Text" w:hAnsi="Danske Text"/>
        </w:rPr>
        <w:t xml:space="preserve"> </w:t>
      </w:r>
      <w:r>
        <w:rPr>
          <w:rFonts w:ascii="Danske Text" w:hAnsi="Danske Text"/>
        </w:rPr>
        <w:t>Osaketuottoja on</w:t>
      </w:r>
      <w:r w:rsidR="00431FF5">
        <w:rPr>
          <w:rFonts w:ascii="Danske Text" w:hAnsi="Danske Text"/>
        </w:rPr>
        <w:t>kin</w:t>
      </w:r>
      <w:r>
        <w:rPr>
          <w:rFonts w:ascii="Danske Text" w:hAnsi="Danske Text"/>
        </w:rPr>
        <w:t xml:space="preserve"> tunnetusti lyhyellä aikavälillä vaikea ennustaa. </w:t>
      </w:r>
      <w:r w:rsidR="00431FF5">
        <w:rPr>
          <w:rFonts w:ascii="Danske Text" w:hAnsi="Danske Text"/>
        </w:rPr>
        <w:t>Tällä hetkellä pohditaan sitä</w:t>
      </w:r>
      <w:r>
        <w:rPr>
          <w:rFonts w:ascii="Danske Text" w:hAnsi="Danske Text"/>
        </w:rPr>
        <w:t xml:space="preserve">, onko </w:t>
      </w:r>
      <w:r w:rsidR="00431FF5">
        <w:rPr>
          <w:rFonts w:ascii="Danske Text" w:hAnsi="Danske Text"/>
        </w:rPr>
        <w:t xml:space="preserve">markkinamyllerrys </w:t>
      </w:r>
      <w:r>
        <w:rPr>
          <w:rFonts w:ascii="Danske Text" w:hAnsi="Danske Text"/>
        </w:rPr>
        <w:t>lyhytkestoinen korjausliike vai pidemmän l</w:t>
      </w:r>
      <w:r w:rsidR="00431FF5">
        <w:rPr>
          <w:rFonts w:ascii="Danske Text" w:hAnsi="Danske Text"/>
        </w:rPr>
        <w:t xml:space="preserve">askujakson </w:t>
      </w:r>
      <w:r>
        <w:rPr>
          <w:rFonts w:ascii="Danske Text" w:hAnsi="Danske Text"/>
        </w:rPr>
        <w:t>alku.</w:t>
      </w:r>
      <w:r w:rsidR="00B33DAE">
        <w:rPr>
          <w:rFonts w:ascii="Danske Text" w:hAnsi="Danske Text"/>
        </w:rPr>
        <w:t xml:space="preserve"> </w:t>
      </w:r>
      <w:r w:rsidR="00431FF5">
        <w:rPr>
          <w:rFonts w:ascii="Danske Text" w:hAnsi="Danske Text"/>
        </w:rPr>
        <w:t xml:space="preserve">Varmaa on kuitenkin se, että tällä hetkellä osakkeita saa ostettua halvemmalla kuin vaikkapa puoli vuotta sitten. </w:t>
      </w:r>
      <w:r w:rsidR="00B33DAE">
        <w:rPr>
          <w:rFonts w:ascii="Danske Text" w:hAnsi="Danske Text"/>
        </w:rPr>
        <w:t>Kotitalouksien onkin syytä pitää mielessä myös osak</w:t>
      </w:r>
      <w:r w:rsidR="00431FF5">
        <w:rPr>
          <w:rFonts w:ascii="Danske Text" w:hAnsi="Danske Text"/>
        </w:rPr>
        <w:t>eostosten ajallinen hajautus</w:t>
      </w:r>
      <w:r w:rsidR="00137B65">
        <w:rPr>
          <w:rFonts w:ascii="Danske Text" w:hAnsi="Danske Text"/>
        </w:rPr>
        <w:t>.</w:t>
      </w:r>
      <w:r w:rsidR="00EF6AD2">
        <w:rPr>
          <w:rFonts w:ascii="Danske Text" w:hAnsi="Danske Text"/>
        </w:rPr>
        <w:t xml:space="preserve"> </w:t>
      </w:r>
      <w:r w:rsidR="00137B65">
        <w:rPr>
          <w:rFonts w:ascii="Danske Text" w:hAnsi="Danske Text"/>
        </w:rPr>
        <w:t>O</w:t>
      </w:r>
      <w:r w:rsidR="00CF14DA">
        <w:rPr>
          <w:rFonts w:ascii="Danske Text" w:hAnsi="Danske Text"/>
        </w:rPr>
        <w:t>sakesijoitust</w:t>
      </w:r>
      <w:r w:rsidR="00137B65">
        <w:rPr>
          <w:rFonts w:ascii="Danske Text" w:hAnsi="Danske Text"/>
        </w:rPr>
        <w:t xml:space="preserve">en osalta on hyvä muistaa, että </w:t>
      </w:r>
      <w:r w:rsidR="00CF14DA">
        <w:rPr>
          <w:rFonts w:ascii="Danske Text" w:hAnsi="Danske Text"/>
        </w:rPr>
        <w:t>aikajänne kannattaa pitää pitkänä</w:t>
      </w:r>
      <w:r w:rsidR="00A947AC">
        <w:rPr>
          <w:rFonts w:ascii="Danske Text" w:hAnsi="Danske Text"/>
        </w:rPr>
        <w:t>,</w:t>
      </w:r>
      <w:r w:rsidR="00431FF5">
        <w:rPr>
          <w:rFonts w:ascii="Danske Text" w:hAnsi="Danske Text"/>
        </w:rPr>
        <w:t xml:space="preserve"> ja kurssien heiluntaan varautua henkisesti</w:t>
      </w:r>
      <w:r w:rsidR="00FB1D43">
        <w:rPr>
          <w:rFonts w:ascii="Danske Text" w:hAnsi="Danske Text"/>
        </w:rPr>
        <w:t>. Lyhyen tähtäimen hötkyily harvoin kannattaa.</w:t>
      </w:r>
    </w:p>
    <w:p w:rsidR="000F0B00" w:rsidRDefault="000F0B00" w:rsidP="00CF14DA">
      <w:pPr>
        <w:pStyle w:val="Leipis"/>
        <w:rPr>
          <w:rFonts w:ascii="Danske Text" w:hAnsi="Danske Text"/>
        </w:rPr>
      </w:pPr>
    </w:p>
    <w:tbl>
      <w:tblPr>
        <w:tblStyle w:val="Placeholder"/>
        <w:tblpPr w:leftFromText="180" w:rightFromText="180" w:vertAnchor="text" w:horzAnchor="margin" w:tblpY="-42"/>
        <w:tblW w:w="6859" w:type="dxa"/>
        <w:tblLayout w:type="fixed"/>
        <w:tblLook w:val="04E0" w:firstRow="1" w:lastRow="1" w:firstColumn="1" w:lastColumn="0" w:noHBand="0" w:noVBand="1"/>
      </w:tblPr>
      <w:tblGrid>
        <w:gridCol w:w="6859"/>
      </w:tblGrid>
      <w:tr w:rsidR="0000693F" w:rsidRPr="007D3DC8" w:rsidTr="00D56F4F">
        <w:trPr>
          <w:cantSplit/>
        </w:trPr>
        <w:tc>
          <w:tcPr>
            <w:tcW w:w="6859" w:type="dxa"/>
          </w:tcPr>
          <w:p w:rsidR="0000693F" w:rsidRPr="007D3DC8" w:rsidRDefault="0000693F" w:rsidP="00D56F4F">
            <w:pPr>
              <w:pStyle w:val="Tabletitle"/>
              <w:rPr>
                <w:lang w:val="fi-FI"/>
              </w:rPr>
            </w:pPr>
            <w:r>
              <w:rPr>
                <w:lang w:val="fi-FI"/>
              </w:rPr>
              <w:t>Kotitalouskysely 2019</w:t>
            </w:r>
            <w:r w:rsidR="00A01609">
              <w:rPr>
                <w:lang w:val="fi-FI"/>
              </w:rPr>
              <w:t>: Säästäminen</w:t>
            </w:r>
          </w:p>
        </w:tc>
      </w:tr>
      <w:tr w:rsidR="0000693F" w:rsidRPr="003E720F" w:rsidTr="00D56F4F">
        <w:trPr>
          <w:cantSplit/>
        </w:trPr>
        <w:tc>
          <w:tcPr>
            <w:tcW w:w="6859" w:type="dxa"/>
          </w:tcPr>
          <w:tbl>
            <w:tblPr>
              <w:tblStyle w:val="TableGrid"/>
              <w:tblW w:w="6860" w:type="dxa"/>
              <w:tblLayout w:type="fixed"/>
              <w:tblLook w:val="06A0" w:firstRow="1" w:lastRow="0" w:firstColumn="1" w:lastColumn="0" w:noHBand="1" w:noVBand="1"/>
            </w:tblPr>
            <w:tblGrid>
              <w:gridCol w:w="6860"/>
            </w:tblGrid>
            <w:tr w:rsidR="0000693F" w:rsidRPr="007D3DC8" w:rsidTr="00D56F4F">
              <w:tc>
                <w:tcPr>
                  <w:tcW w:w="6860" w:type="dxa"/>
                  <w:tcBorders>
                    <w:bottom w:val="single" w:sz="2" w:space="0" w:color="808080"/>
                  </w:tcBorders>
                </w:tcPr>
                <w:p w:rsidR="0000693F" w:rsidRPr="007D3DC8" w:rsidRDefault="0000693F" w:rsidP="00D56F4F">
                  <w:pPr>
                    <w:framePr w:hSpace="180" w:wrap="around" w:vAnchor="text" w:hAnchor="margin" w:y="-42"/>
                    <w:rPr>
                      <w:b/>
                      <w:lang w:val="fi-FI"/>
                    </w:rPr>
                  </w:pPr>
                </w:p>
              </w:tc>
            </w:tr>
            <w:tr w:rsidR="0000693F" w:rsidRPr="003E720F" w:rsidTr="00D56F4F">
              <w:tc>
                <w:tcPr>
                  <w:tcW w:w="6860" w:type="dxa"/>
                  <w:tcBorders>
                    <w:top w:val="single" w:sz="2" w:space="0" w:color="808080"/>
                  </w:tcBorders>
                </w:tcPr>
                <w:p w:rsidR="0000693F" w:rsidRPr="0050374E" w:rsidRDefault="0000693F" w:rsidP="00D56F4F">
                  <w:pPr>
                    <w:framePr w:hSpace="180" w:wrap="around" w:vAnchor="text" w:hAnchor="margin" w:y="-42"/>
                    <w:rPr>
                      <w:color w:val="000000" w:themeColor="text1"/>
                      <w:lang w:val="fi-FI"/>
                    </w:rPr>
                  </w:pPr>
                </w:p>
                <w:p w:rsidR="0000693F" w:rsidRPr="001D40FF" w:rsidRDefault="004C15BB" w:rsidP="004C15BB">
                  <w:pPr>
                    <w:framePr w:hSpace="180" w:wrap="around" w:vAnchor="text" w:hAnchor="margin" w:y="-42"/>
                    <w:rPr>
                      <w:color w:val="000000" w:themeColor="text1"/>
                      <w:sz w:val="22"/>
                      <w:lang w:val="fi-FI"/>
                    </w:rPr>
                  </w:pPr>
                  <w:r w:rsidRPr="001D40FF">
                    <w:rPr>
                      <w:color w:val="000000" w:themeColor="text1"/>
                      <w:sz w:val="22"/>
                      <w:lang w:val="fi-FI"/>
                    </w:rPr>
                    <w:t>Suomalaiset aikovat jatkaa sijoittamista vuonna 2019. 40 prosenttia</w:t>
                  </w:r>
                  <w:r w:rsidR="0018377E" w:rsidRPr="001D40FF">
                    <w:rPr>
                      <w:color w:val="000000" w:themeColor="text1"/>
                      <w:sz w:val="22"/>
                      <w:lang w:val="fi-FI"/>
                    </w:rPr>
                    <w:t xml:space="preserve"> vastaajista aikoo sijoittaa vuoden 2019 aikana osakkeisiin tai rahastoihin.</w:t>
                  </w:r>
                  <w:r w:rsidRPr="001D40FF">
                    <w:rPr>
                      <w:color w:val="000000" w:themeColor="text1"/>
                      <w:sz w:val="22"/>
                      <w:lang w:val="fi-FI"/>
                    </w:rPr>
                    <w:t xml:space="preserve"> 38 prosenttia kertoo aikovansa säästää </w:t>
                  </w:r>
                  <w:r w:rsidR="0018377E" w:rsidRPr="001D40FF">
                    <w:rPr>
                      <w:color w:val="000000" w:themeColor="text1"/>
                      <w:sz w:val="22"/>
                      <w:lang w:val="fi-FI"/>
                    </w:rPr>
                    <w:t>pankkitilille.</w:t>
                  </w:r>
                  <w:r w:rsidRPr="001D40FF">
                    <w:rPr>
                      <w:color w:val="000000" w:themeColor="text1"/>
                      <w:sz w:val="22"/>
                      <w:lang w:val="fi-FI"/>
                    </w:rPr>
                    <w:t xml:space="preserve">  Sijoitusasunnon ostamista suunnittelee vain 2 prosenttia vastaajista. M</w:t>
                  </w:r>
                  <w:r w:rsidR="0018377E" w:rsidRPr="001D40FF">
                    <w:rPr>
                      <w:color w:val="000000" w:themeColor="text1"/>
                      <w:sz w:val="22"/>
                      <w:lang w:val="fi-FI"/>
                    </w:rPr>
                    <w:t xml:space="preserve">iehet aikovat ottaa sijoituksissaan enemmän riskiä: osakkeisiin tai </w:t>
                  </w:r>
                  <w:r w:rsidRPr="001D40FF">
                    <w:rPr>
                      <w:color w:val="000000" w:themeColor="text1"/>
                      <w:sz w:val="22"/>
                      <w:lang w:val="fi-FI"/>
                    </w:rPr>
                    <w:t>rahastoihin aikoo sijoittaa 49 prosenttia miehistä ja 32 prosenttia</w:t>
                  </w:r>
                  <w:r w:rsidR="0018377E" w:rsidRPr="001D40FF">
                    <w:rPr>
                      <w:color w:val="000000" w:themeColor="text1"/>
                      <w:sz w:val="22"/>
                      <w:lang w:val="fi-FI"/>
                    </w:rPr>
                    <w:t xml:space="preserve"> naisista.</w:t>
                  </w:r>
                </w:p>
                <w:p w:rsidR="0000693F" w:rsidRPr="00E15F94" w:rsidRDefault="0000693F" w:rsidP="00D56F4F">
                  <w:pPr>
                    <w:framePr w:hSpace="180" w:wrap="around" w:vAnchor="text" w:hAnchor="margin" w:y="-42"/>
                    <w:rPr>
                      <w:lang w:val="fi-FI"/>
                    </w:rPr>
                  </w:pPr>
                </w:p>
              </w:tc>
            </w:tr>
          </w:tbl>
          <w:p w:rsidR="0000693F" w:rsidRPr="00E15F94" w:rsidRDefault="0000693F" w:rsidP="00D56F4F">
            <w:pPr>
              <w:pStyle w:val="Tableholder"/>
              <w:rPr>
                <w:lang w:val="fi-FI"/>
              </w:rPr>
            </w:pPr>
          </w:p>
        </w:tc>
      </w:tr>
      <w:tr w:rsidR="0000693F" w:rsidRPr="0050374E" w:rsidTr="00D56F4F">
        <w:trPr>
          <w:cantSplit/>
        </w:trPr>
        <w:tc>
          <w:tcPr>
            <w:tcW w:w="6859" w:type="dxa"/>
          </w:tcPr>
          <w:p w:rsidR="0000693F" w:rsidRPr="0050374E" w:rsidRDefault="0000693F" w:rsidP="00D56F4F">
            <w:pPr>
              <w:pStyle w:val="Tablesource"/>
            </w:pPr>
            <w:r w:rsidRPr="0050374E">
              <w:t>Lähde: Danske Bank, YouGov Finland</w:t>
            </w:r>
          </w:p>
        </w:tc>
      </w:tr>
    </w:tbl>
    <w:p w:rsidR="00B33DAE" w:rsidRPr="0000693F" w:rsidRDefault="00B33DAE" w:rsidP="00CF14DA">
      <w:pPr>
        <w:pStyle w:val="Leipis"/>
        <w:rPr>
          <w:rFonts w:ascii="Danske Text" w:hAnsi="Danske Text"/>
          <w:lang w:val="en-GB"/>
        </w:rPr>
      </w:pPr>
    </w:p>
    <w:p w:rsidR="007B3D05" w:rsidRPr="0000693F" w:rsidRDefault="007B3D05" w:rsidP="007B3D05">
      <w:pPr>
        <w:pStyle w:val="SECTIONDisclaimer"/>
      </w:pPr>
      <w:r>
        <w:rPr>
          <w:noProof/>
        </w:rPr>
        <w:drawing>
          <wp:anchor distT="0" distB="0" distL="114300" distR="114300" simplePos="0" relativeHeight="251669504" behindDoc="0" locked="0" layoutInCell="1" allowOverlap="1">
            <wp:simplePos x="0" y="0"/>
            <wp:positionH relativeFrom="column">
              <wp:posOffset>2926715</wp:posOffset>
            </wp:positionH>
            <wp:positionV relativeFrom="paragraph">
              <wp:posOffset>5743</wp:posOffset>
            </wp:positionV>
            <wp:extent cx="1584960" cy="2121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4960" cy="2121535"/>
                    </a:xfrm>
                    <a:prstGeom prst="rect">
                      <a:avLst/>
                    </a:prstGeom>
                    <a:noFill/>
                  </pic:spPr>
                </pic:pic>
              </a:graphicData>
            </a:graphic>
          </wp:anchor>
        </w:drawing>
      </w:r>
    </w:p>
    <w:p w:rsidR="007B3D05" w:rsidRPr="00AF5923" w:rsidRDefault="007B3D05" w:rsidP="007B3D05">
      <w:pPr>
        <w:rPr>
          <w:lang w:val="fi-FI"/>
        </w:rPr>
      </w:pPr>
      <w:r w:rsidRPr="00EE5004">
        <w:rPr>
          <w:b/>
          <w:sz w:val="24"/>
          <w:lang w:val="fi-FI"/>
        </w:rPr>
        <w:t>Ekonomist</w:t>
      </w:r>
      <w:r w:rsidRPr="00EE5004">
        <w:rPr>
          <w:sz w:val="24"/>
          <w:lang w:val="fi-FI"/>
        </w:rPr>
        <w:t>i</w:t>
      </w:r>
    </w:p>
    <w:p w:rsidR="007B3D05" w:rsidRPr="00EE5004" w:rsidRDefault="007B3D05" w:rsidP="007B3D05">
      <w:pPr>
        <w:rPr>
          <w:sz w:val="24"/>
          <w:lang w:val="fi-FI"/>
        </w:rPr>
      </w:pPr>
      <w:r>
        <w:rPr>
          <w:sz w:val="24"/>
          <w:lang w:val="fi-FI"/>
        </w:rPr>
        <w:t>Jukka Appelqvist</w:t>
      </w:r>
    </w:p>
    <w:p w:rsidR="007B3D05" w:rsidRPr="00EE5004" w:rsidRDefault="007B3D05" w:rsidP="007B3D05">
      <w:pPr>
        <w:rPr>
          <w:sz w:val="24"/>
          <w:lang w:val="fi-FI"/>
        </w:rPr>
      </w:pPr>
      <w:r>
        <w:rPr>
          <w:sz w:val="24"/>
          <w:lang w:val="fi-FI"/>
        </w:rPr>
        <w:t>puh. 044 263 1051</w:t>
      </w:r>
    </w:p>
    <w:p w:rsidR="00BF0972" w:rsidRPr="00BF0972" w:rsidRDefault="00BF0972" w:rsidP="00BF0972">
      <w:pPr>
        <w:rPr>
          <w:sz w:val="24"/>
          <w:lang w:val="fi-FI"/>
        </w:rPr>
      </w:pPr>
      <w:r w:rsidRPr="00BF0972">
        <w:rPr>
          <w:sz w:val="24"/>
          <w:lang w:val="fi-FI"/>
        </w:rPr>
        <w:t xml:space="preserve">jukka.appelqvist@danskebank.fi </w:t>
      </w:r>
    </w:p>
    <w:p w:rsidR="007B3D05" w:rsidRPr="00EE5004" w:rsidRDefault="00BF0972" w:rsidP="00BF0972">
      <w:pPr>
        <w:rPr>
          <w:sz w:val="24"/>
          <w:lang w:val="fi-FI"/>
        </w:rPr>
      </w:pPr>
      <w:r w:rsidRPr="00BF0972">
        <w:rPr>
          <w:sz w:val="24"/>
          <w:lang w:val="fi-FI"/>
        </w:rPr>
        <w:t>Twitter @JukkaAppelqvist</w:t>
      </w:r>
    </w:p>
    <w:p w:rsidR="007B3D05" w:rsidRPr="00442163" w:rsidRDefault="007B3D05" w:rsidP="007B3D05">
      <w:pPr>
        <w:rPr>
          <w:lang w:val="fi-FI"/>
        </w:rPr>
      </w:pPr>
    </w:p>
    <w:p w:rsidR="007B3D05" w:rsidRPr="00442163" w:rsidRDefault="007B3D05" w:rsidP="007B3D05">
      <w:pPr>
        <w:rPr>
          <w:lang w:val="fi-FI"/>
        </w:rPr>
      </w:pPr>
    </w:p>
    <w:p w:rsidR="007B3D05" w:rsidRPr="00442163" w:rsidRDefault="007B3D05" w:rsidP="007B3D05">
      <w:pPr>
        <w:rPr>
          <w:lang w:val="fi-FI"/>
        </w:rPr>
      </w:pPr>
    </w:p>
    <w:p w:rsidR="007B3D05" w:rsidRPr="00442163" w:rsidRDefault="007B3D05" w:rsidP="007B3D05">
      <w:pPr>
        <w:tabs>
          <w:tab w:val="left" w:pos="1380"/>
        </w:tabs>
        <w:rPr>
          <w:lang w:val="fi-FI"/>
        </w:rPr>
      </w:pPr>
    </w:p>
    <w:tbl>
      <w:tblPr>
        <w:tblStyle w:val="TableGrid"/>
        <w:tblpPr w:leftFromText="180" w:rightFromText="180" w:vertAnchor="text" w:horzAnchor="margin" w:tblpY="2364"/>
        <w:tblOverlap w:val="never"/>
        <w:tblW w:w="6860" w:type="dxa"/>
        <w:shd w:val="clear" w:color="auto" w:fill="FFFFFF" w:themeFill="background1"/>
        <w:tblLayout w:type="fixed"/>
        <w:tblCellMar>
          <w:left w:w="0" w:type="dxa"/>
          <w:right w:w="0" w:type="dxa"/>
        </w:tblCellMar>
        <w:tblLook w:val="01E0" w:firstRow="1" w:lastRow="1" w:firstColumn="1" w:lastColumn="1" w:noHBand="0" w:noVBand="0"/>
      </w:tblPr>
      <w:tblGrid>
        <w:gridCol w:w="6860"/>
      </w:tblGrid>
      <w:tr w:rsidR="007B3D05" w:rsidRPr="00182B22" w:rsidTr="007B3D05">
        <w:trPr>
          <w:cantSplit/>
          <w:trHeight w:val="1374"/>
        </w:trPr>
        <w:tc>
          <w:tcPr>
            <w:tcW w:w="6860" w:type="dxa"/>
            <w:shd w:val="clear" w:color="auto" w:fill="FFFFFF" w:themeFill="background1"/>
            <w:tcMar>
              <w:top w:w="28" w:type="dxa"/>
              <w:bottom w:w="28" w:type="dxa"/>
            </w:tcMar>
          </w:tcPr>
          <w:p w:rsidR="007B3D05" w:rsidRPr="00442163" w:rsidRDefault="00BF0972" w:rsidP="007B3D05">
            <w:pPr>
              <w:pStyle w:val="Viitteet"/>
              <w:spacing w:line="200" w:lineRule="exact"/>
              <w:jc w:val="left"/>
              <w:rPr>
                <w:sz w:val="16"/>
              </w:rPr>
            </w:pPr>
            <w:r>
              <w:rPr>
                <w:rFonts w:ascii="Danske Text" w:hAnsi="Danske Text"/>
                <w:sz w:val="16"/>
              </w:rPr>
              <w:t>Danske</w:t>
            </w:r>
            <w:r w:rsidRPr="00442163">
              <w:rPr>
                <w:rFonts w:ascii="Danske Text" w:hAnsi="Danske Text"/>
                <w:sz w:val="16"/>
              </w:rPr>
              <w:t xml:space="preserve"> </w:t>
            </w:r>
            <w:r>
              <w:rPr>
                <w:rFonts w:ascii="Danske Text" w:hAnsi="Danske Text"/>
                <w:sz w:val="16"/>
              </w:rPr>
              <w:t>Bank</w:t>
            </w:r>
            <w:r w:rsidRPr="00442163">
              <w:rPr>
                <w:rFonts w:ascii="Danske Text" w:hAnsi="Danske Text"/>
                <w:sz w:val="16"/>
              </w:rPr>
              <w:t xml:space="preserve"> </w:t>
            </w:r>
            <w:r>
              <w:rPr>
                <w:rFonts w:ascii="Danske Text" w:hAnsi="Danske Text"/>
                <w:sz w:val="16"/>
              </w:rPr>
              <w:t>A/S, Suomen sivuliike</w:t>
            </w:r>
            <w:r w:rsidRPr="00442163">
              <w:rPr>
                <w:rFonts w:ascii="Danske Text" w:hAnsi="Danske Text"/>
                <w:sz w:val="16"/>
              </w:rPr>
              <w:t xml:space="preserve"> </w:t>
            </w:r>
            <w:r w:rsidRPr="00442163">
              <w:rPr>
                <w:rFonts w:ascii="Danske Text" w:hAnsi="Danske Text"/>
                <w:sz w:val="16"/>
              </w:rPr>
              <w:br/>
            </w:r>
            <w:r w:rsidRPr="00333F3C">
              <w:rPr>
                <w:rFonts w:ascii="Danske Text" w:hAnsi="Danske Text"/>
                <w:sz w:val="16"/>
              </w:rPr>
              <w:t>Televisiokatu 1, PL 1243, 00075 DANSKE BANK</w:t>
            </w:r>
            <w:r w:rsidRPr="00442163">
              <w:rPr>
                <w:rFonts w:ascii="Danske Text" w:hAnsi="Danske Text"/>
                <w:sz w:val="16"/>
              </w:rPr>
              <w:br/>
              <w:t>Y-tunnus 1730744-7</w:t>
            </w:r>
          </w:p>
        </w:tc>
      </w:tr>
    </w:tbl>
    <w:p w:rsidR="00285BDF" w:rsidRDefault="00285BDF" w:rsidP="00932DE4">
      <w:pPr>
        <w:tabs>
          <w:tab w:val="left" w:pos="1380"/>
        </w:tabs>
        <w:rPr>
          <w:lang w:val="fi-FI"/>
        </w:rPr>
      </w:pPr>
    </w:p>
    <w:p w:rsidR="00285BDF" w:rsidRDefault="00285BDF" w:rsidP="00932DE4">
      <w:pPr>
        <w:tabs>
          <w:tab w:val="left" w:pos="1380"/>
        </w:tabs>
        <w:rPr>
          <w:lang w:val="fi-FI"/>
        </w:rPr>
      </w:pPr>
    </w:p>
    <w:p w:rsidR="00285BDF" w:rsidRDefault="00285BDF" w:rsidP="00932DE4">
      <w:pPr>
        <w:tabs>
          <w:tab w:val="left" w:pos="1380"/>
        </w:tabs>
        <w:rPr>
          <w:lang w:val="fi-FI"/>
        </w:rPr>
      </w:pPr>
    </w:p>
    <w:tbl>
      <w:tblPr>
        <w:tblStyle w:val="TableGrid"/>
        <w:tblpPr w:leftFromText="180" w:rightFromText="180" w:vertAnchor="text" w:horzAnchor="margin" w:tblpY="672"/>
        <w:tblOverlap w:val="never"/>
        <w:tblW w:w="6935" w:type="dxa"/>
        <w:shd w:val="clear" w:color="auto" w:fill="FFFFFF" w:themeFill="background1"/>
        <w:tblLayout w:type="fixed"/>
        <w:tblCellMar>
          <w:left w:w="0" w:type="dxa"/>
          <w:right w:w="0" w:type="dxa"/>
        </w:tblCellMar>
        <w:tblLook w:val="01E0" w:firstRow="1" w:lastRow="1" w:firstColumn="1" w:lastColumn="1" w:noHBand="0" w:noVBand="0"/>
      </w:tblPr>
      <w:tblGrid>
        <w:gridCol w:w="6935"/>
      </w:tblGrid>
      <w:tr w:rsidR="007B3D05" w:rsidRPr="00182B22" w:rsidTr="00250BC6">
        <w:trPr>
          <w:cantSplit/>
          <w:trHeight w:val="52"/>
        </w:trPr>
        <w:tc>
          <w:tcPr>
            <w:tcW w:w="6935" w:type="dxa"/>
            <w:shd w:val="clear" w:color="auto" w:fill="FFFFFF" w:themeFill="background1"/>
            <w:tcMar>
              <w:top w:w="28" w:type="dxa"/>
              <w:bottom w:w="28" w:type="dxa"/>
            </w:tcMar>
          </w:tcPr>
          <w:p w:rsidR="007B3D05" w:rsidRPr="00442163" w:rsidRDefault="007B3D05" w:rsidP="00250BC6">
            <w:pPr>
              <w:pStyle w:val="Viitteet"/>
              <w:rPr>
                <w:rFonts w:ascii="Danske Text" w:hAnsi="Danske Text"/>
                <w:sz w:val="18"/>
              </w:rPr>
            </w:pPr>
          </w:p>
        </w:tc>
      </w:tr>
    </w:tbl>
    <w:p w:rsidR="007B3D05" w:rsidRPr="00442163" w:rsidRDefault="007B3D05" w:rsidP="007B3D05">
      <w:pPr>
        <w:rPr>
          <w:lang w:val="fi-FI"/>
        </w:rPr>
      </w:pPr>
    </w:p>
    <w:p w:rsidR="007B3D05" w:rsidRPr="000F3A32" w:rsidRDefault="007B3D05" w:rsidP="007B3D05">
      <w:pPr>
        <w:rPr>
          <w:rStyle w:val="Disclaimer"/>
          <w:lang w:val="fi-FI"/>
        </w:rPr>
      </w:pPr>
    </w:p>
    <w:p w:rsidR="007B3D05" w:rsidRPr="000F3A32" w:rsidRDefault="007B3D05" w:rsidP="007B3D05">
      <w:pPr>
        <w:rPr>
          <w:rStyle w:val="Disclaimer"/>
          <w:lang w:val="fi-FI"/>
        </w:rPr>
      </w:pPr>
    </w:p>
    <w:p w:rsidR="007B3D05" w:rsidRPr="000F3A32" w:rsidRDefault="007B3D05" w:rsidP="007B3D05">
      <w:pPr>
        <w:rPr>
          <w:rStyle w:val="Disclaimer"/>
          <w:lang w:val="fi-FI"/>
        </w:rPr>
      </w:pPr>
    </w:p>
    <w:p w:rsidR="007B3D05" w:rsidRPr="000F3A32" w:rsidRDefault="007B3D05" w:rsidP="007B3D05">
      <w:pPr>
        <w:rPr>
          <w:rStyle w:val="Disclaimer"/>
          <w:lang w:val="fi-FI"/>
        </w:rPr>
      </w:pPr>
    </w:p>
    <w:p w:rsidR="007B3D05" w:rsidRPr="000F3A32" w:rsidRDefault="007B3D05" w:rsidP="007B3D05">
      <w:pPr>
        <w:rPr>
          <w:rStyle w:val="Disclaimer"/>
          <w:lang w:val="fi-FI"/>
        </w:rPr>
      </w:pPr>
    </w:p>
    <w:p w:rsidR="007B3D05" w:rsidRPr="000F3A32" w:rsidRDefault="007B3D05" w:rsidP="007B3D05">
      <w:pPr>
        <w:rPr>
          <w:rStyle w:val="Disclaimer"/>
          <w:lang w:val="fi-FI"/>
        </w:rPr>
      </w:pPr>
    </w:p>
    <w:p w:rsidR="007B3D05" w:rsidRDefault="007B3D05" w:rsidP="007B3D05">
      <w:pPr>
        <w:rPr>
          <w:rStyle w:val="Disclaimer"/>
          <w:rFonts w:eastAsia="Cambria" w:cs="DanskeText"/>
          <w:color w:val="000000" w:themeColor="text1"/>
          <w:lang w:val="fi-FI" w:eastAsia="en-US"/>
        </w:rPr>
      </w:pPr>
    </w:p>
    <w:p w:rsidR="007B3D05" w:rsidRDefault="007B3D05" w:rsidP="007B3D05">
      <w:pPr>
        <w:pStyle w:val="Ingressi"/>
        <w:rPr>
          <w:rStyle w:val="Disclaimer"/>
          <w:b w:val="0"/>
        </w:rPr>
      </w:pPr>
      <w:r w:rsidRPr="007B3D05">
        <w:rPr>
          <w:rStyle w:val="Disclaimer"/>
          <w:b w:val="0"/>
        </w:rPr>
        <w:t>Tässä katsauksessa on käytetty yleisön saatavilla olevia tietoja. Keskeiset tilastolähteet ovat: Macrobond, Tilastokeskus, Suomen Pankki ja Tulli.</w:t>
      </w:r>
    </w:p>
    <w:p w:rsidR="007B3D05" w:rsidRDefault="007B3D05" w:rsidP="007B3D05">
      <w:pPr>
        <w:pStyle w:val="Ingressi"/>
        <w:rPr>
          <w:rStyle w:val="Disclaimer"/>
        </w:rPr>
      </w:pPr>
      <w:r w:rsidRPr="007B3D05">
        <w:rPr>
          <w:rStyle w:val="Disclaimer"/>
          <w:b w:val="0"/>
        </w:rPr>
        <w:t xml:space="preserve">Tämä katsaus perustuu Danske Bank A/S:n (”pankki”) tekemiin arvioihin ja mielipiteisiin. </w:t>
      </w:r>
      <w:r w:rsidRPr="00442163">
        <w:rPr>
          <w:rStyle w:val="Disclaimer"/>
          <w:b w:val="0"/>
        </w:rPr>
        <w:t>Niiden per</w:t>
      </w:r>
      <w:r>
        <w:rPr>
          <w:rStyle w:val="Disclaimer"/>
          <w:b w:val="0"/>
        </w:rPr>
        <w:t>ustana olevat tiedot on koottu p</w:t>
      </w:r>
      <w:r w:rsidRPr="00442163">
        <w:rPr>
          <w:rStyle w:val="Disclaimer"/>
          <w:b w:val="0"/>
        </w:rPr>
        <w:t>ankin luotettavina pitämistä julkisista lähteistä. Pankki tai sen kanssa samaan konserniin kuuluva yhtiö taikka niiden palveluksessa olevat henkilöt eivät takaa esitettyjen tietojen, arvioiden ja mielipiteiden oikeellisuutta tai täydellisyyttä eivätkä vastaa mistään suorista tai epäsuorista kuluista, vahingoista tai menetyksistä, joita katsauksen tai sen sisältämien tietojen käyttö mahdollisesti voi aiheuttaa. Katsauksessa annetut suositukset ja arviot edustavat pankin mielipiteitä ja arvioita julkaisuhetkellä ja niitä voidaan muuttaa ilman eri ilmoitusta. Tämä katsaus sisältää pankin immateriaalioikeudellisesti suojattua aineistoa, johon pankki pidättää kaikki immateriaaliset ja muut oikeudet.</w:t>
      </w:r>
    </w:p>
    <w:p w:rsidR="007B3D05" w:rsidRPr="00442163" w:rsidRDefault="007B3D05" w:rsidP="007B3D05">
      <w:pPr>
        <w:pStyle w:val="Ingressi"/>
        <w:rPr>
          <w:rStyle w:val="Disclaimer"/>
        </w:rPr>
      </w:pPr>
      <w:r w:rsidRPr="00442163">
        <w:rPr>
          <w:rStyle w:val="Disclaimer"/>
          <w:b w:val="0"/>
        </w:rPr>
        <w:br/>
        <w:t>Katsaus on tarkoitettu ainoastaan alkuperäisen vastaanottajan käyttöön eikä sitä saa millään tavalla jäljentää, julkaista tai levittää ilman pankin kirjallista etukäteislupaa. Pankki tai sen kanssa samaan konserniin kuuluva yhtiö taikka niiden palveluksessa oleva henkilö saattaa tarjota palveluita katsauksessa mainitulle yhtiölle, käydä kauppaa tiedotteen kohteena olevien yhtiöiden liikkeeseen laskemilla arvopapereilla, hoitaa tiedotteen kohteena olevien yhtiöiden toimeksiantoja taikka on saattanut toimia katsauksessa esitetyn tiedon perusteella jo ennen katsauksen julkaisemista. Tätä katsausta ei voida missään tilanteessa pitää arvopaperien myynti- tai ostotarjouksena tai kehotuksena arvopaperi- tai muuhun kaupankäyntiin. Sama koskee myös niitä alueita, joiden laki ei salli tarjousten, kehotusten tai suositusten esittämistä.</w:t>
      </w:r>
    </w:p>
    <w:p w:rsidR="007B3D05" w:rsidRDefault="007B3D05" w:rsidP="007B3D05">
      <w:pPr>
        <w:pStyle w:val="Disclaimertext"/>
        <w:rPr>
          <w:lang w:val="fi-FI"/>
        </w:rPr>
      </w:pPr>
    </w:p>
    <w:p w:rsidR="007B3D05" w:rsidRDefault="007B3D05" w:rsidP="007B3D05">
      <w:pPr>
        <w:pStyle w:val="Disclaimertext"/>
        <w:rPr>
          <w:lang w:val="fi-FI"/>
        </w:rPr>
      </w:pPr>
    </w:p>
    <w:p w:rsidR="007B3D05" w:rsidRDefault="007B3D05" w:rsidP="007B3D05">
      <w:pPr>
        <w:pStyle w:val="Disclaimertext"/>
        <w:rPr>
          <w:lang w:val="fi-FI"/>
        </w:rPr>
      </w:pPr>
    </w:p>
    <w:p w:rsidR="007B3D05" w:rsidRDefault="007B3D05" w:rsidP="007B3D05">
      <w:pPr>
        <w:pStyle w:val="Heading10"/>
        <w:rPr>
          <w:lang w:val="fi-FI"/>
        </w:rPr>
      </w:pPr>
    </w:p>
    <w:p w:rsidR="00932DE4" w:rsidRDefault="00932DE4" w:rsidP="007B3D05">
      <w:pPr>
        <w:tabs>
          <w:tab w:val="left" w:pos="1380"/>
        </w:tabs>
        <w:rPr>
          <w:lang w:val="fi-FI"/>
        </w:rPr>
      </w:pPr>
    </w:p>
    <w:sectPr w:rsidR="00932DE4" w:rsidSect="00E070DF">
      <w:headerReference w:type="default" r:id="rId31"/>
      <w:pgSz w:w="11906" w:h="16838" w:code="9"/>
      <w:pgMar w:top="1588" w:right="4309" w:bottom="567"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01" w:rsidRDefault="00B32A01">
      <w:r>
        <w:separator/>
      </w:r>
    </w:p>
  </w:endnote>
  <w:endnote w:type="continuationSeparator" w:id="0">
    <w:p w:rsidR="00B32A01" w:rsidRDefault="00B3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nske Text">
    <w:panose1 w:val="00000400000000000000"/>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00004FF" w:usb2="00000000" w:usb3="00000000" w:csb0="0000019F" w:csb1="00000000"/>
  </w:font>
  <w:font w:name="DanskeTex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Danske Headline">
    <w:panose1 w:val="00000400000000000000"/>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nske Human Medium Italic">
    <w:panose1 w:val="02000603050000020003"/>
    <w:charset w:val="00"/>
    <w:family w:val="auto"/>
    <w:pitch w:val="variable"/>
    <w:sig w:usb0="A00002BF" w:usb1="5000205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01" w:rsidRDefault="00B32A01">
      <w:r>
        <w:separator/>
      </w:r>
    </w:p>
  </w:footnote>
  <w:footnote w:type="continuationSeparator" w:id="0">
    <w:p w:rsidR="00B32A01" w:rsidRDefault="00B3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41" w:type="dxa"/>
      <w:tblLayout w:type="fixed"/>
      <w:tblLook w:val="01E0" w:firstRow="1" w:lastRow="1" w:firstColumn="1" w:lastColumn="1" w:noHBand="0" w:noVBand="0"/>
    </w:tblPr>
    <w:tblGrid>
      <w:gridCol w:w="335"/>
      <w:gridCol w:w="170"/>
      <w:gridCol w:w="236"/>
    </w:tblGrid>
    <w:tr w:rsidR="004B216A">
      <w:trPr>
        <w:cantSplit/>
        <w:trHeight w:val="7796"/>
      </w:trPr>
      <w:tc>
        <w:tcPr>
          <w:tcW w:w="335" w:type="dxa"/>
          <w:tcMar>
            <w:left w:w="0" w:type="dxa"/>
            <w:right w:w="0" w:type="dxa"/>
          </w:tcMar>
          <w:textDirection w:val="tbRl"/>
        </w:tcPr>
        <w:p w:rsidR="004B216A" w:rsidRDefault="004B216A" w:rsidP="00253F3D">
          <w:pPr>
            <w:pStyle w:val="BannerText"/>
            <w:framePr w:w="737" w:h="11907" w:hRule="exact" w:wrap="around" w:vAnchor="page" w:hAnchor="page" w:x="16091" w:y="1" w:anchorLock="1"/>
          </w:pPr>
        </w:p>
        <w:p w:rsidR="004B216A" w:rsidRDefault="004B216A" w:rsidP="00253F3D">
          <w:pPr>
            <w:pStyle w:val="Header"/>
            <w:framePr w:w="737" w:h="11907" w:hRule="exact" w:wrap="around" w:vAnchor="page" w:hAnchor="page" w:x="16091" w:y="1" w:anchorLock="1"/>
          </w:pPr>
        </w:p>
      </w:tc>
      <w:tc>
        <w:tcPr>
          <w:tcW w:w="170" w:type="dxa"/>
          <w:shd w:val="clear" w:color="auto" w:fill="B4191E"/>
          <w:tcMar>
            <w:left w:w="0" w:type="dxa"/>
            <w:right w:w="0" w:type="dxa"/>
          </w:tcMar>
          <w:textDirection w:val="tbRl"/>
          <w:vAlign w:val="center"/>
        </w:tcPr>
        <w:p w:rsidR="004B216A" w:rsidRDefault="004B216A" w:rsidP="00253F3D">
          <w:pPr>
            <w:pStyle w:val="BannerText"/>
            <w:framePr w:w="737" w:h="11907" w:hRule="exact" w:wrap="around" w:vAnchor="page" w:hAnchor="page" w:x="16091" w:y="1" w:anchorLock="1"/>
          </w:pPr>
          <w:r>
            <w:fldChar w:fldCharType="begin"/>
          </w:r>
          <w:r>
            <w:instrText xml:space="preserve"> STYLEREF  "_FP Title" </w:instrText>
          </w:r>
          <w:r>
            <w:fldChar w:fldCharType="separate"/>
          </w:r>
          <w:r w:rsidR="00D938C3">
            <w:rPr>
              <w:noProof/>
            </w:rPr>
            <w:t>Kuluttajan vuosi 2019</w:t>
          </w:r>
          <w:r>
            <w:rPr>
              <w:noProof/>
            </w:rPr>
            <w:fldChar w:fldCharType="end"/>
          </w:r>
        </w:p>
      </w:tc>
      <w:tc>
        <w:tcPr>
          <w:tcW w:w="236" w:type="dxa"/>
          <w:shd w:val="clear" w:color="auto" w:fill="002E62"/>
          <w:textDirection w:val="tbRl"/>
        </w:tcPr>
        <w:p w:rsidR="004B216A" w:rsidRDefault="004B216A" w:rsidP="00253F3D">
          <w:pPr>
            <w:pStyle w:val="Header"/>
            <w:framePr w:w="737" w:h="11907" w:hRule="exact" w:wrap="around" w:vAnchor="page" w:hAnchor="page" w:x="16091" w:y="1" w:anchorLock="1"/>
          </w:pPr>
        </w:p>
      </w:tc>
    </w:tr>
    <w:tr w:rsidR="004B216A">
      <w:trPr>
        <w:cantSplit/>
        <w:trHeight w:hRule="exact" w:val="159"/>
      </w:trPr>
      <w:tc>
        <w:tcPr>
          <w:tcW w:w="335" w:type="dxa"/>
          <w:tcMar>
            <w:left w:w="0" w:type="dxa"/>
            <w:right w:w="0" w:type="dxa"/>
          </w:tcMar>
          <w:textDirection w:val="tbRl"/>
        </w:tcPr>
        <w:p w:rsidR="004B216A" w:rsidRDefault="004B216A" w:rsidP="00253F3D">
          <w:pPr>
            <w:pStyle w:val="BannerText"/>
            <w:framePr w:w="737" w:h="11907" w:hRule="exact" w:wrap="around" w:vAnchor="page" w:hAnchor="page" w:x="16091" w:y="1" w:anchorLock="1"/>
          </w:pPr>
        </w:p>
      </w:tc>
      <w:tc>
        <w:tcPr>
          <w:tcW w:w="170" w:type="dxa"/>
          <w:tcMar>
            <w:left w:w="0" w:type="dxa"/>
            <w:right w:w="0" w:type="dxa"/>
          </w:tcMar>
          <w:textDirection w:val="tbRl"/>
          <w:vAlign w:val="center"/>
        </w:tcPr>
        <w:p w:rsidR="004B216A" w:rsidRDefault="004B216A" w:rsidP="00253F3D">
          <w:pPr>
            <w:pStyle w:val="BannerText"/>
            <w:framePr w:w="737" w:h="11907" w:hRule="exact" w:wrap="around" w:vAnchor="page" w:hAnchor="page" w:x="16091" w:y="1" w:anchorLock="1"/>
          </w:pPr>
        </w:p>
      </w:tc>
      <w:tc>
        <w:tcPr>
          <w:tcW w:w="236" w:type="dxa"/>
          <w:shd w:val="clear" w:color="auto" w:fill="002E62"/>
          <w:textDirection w:val="tbRl"/>
        </w:tcPr>
        <w:p w:rsidR="004B216A" w:rsidRDefault="004B216A" w:rsidP="00253F3D">
          <w:pPr>
            <w:pStyle w:val="Header"/>
            <w:framePr w:w="737" w:h="11907" w:hRule="exact" w:wrap="around" w:vAnchor="page" w:hAnchor="page" w:x="16091" w:y="1" w:anchorLock="1"/>
          </w:pPr>
        </w:p>
      </w:tc>
    </w:tr>
    <w:tr w:rsidR="004B216A">
      <w:trPr>
        <w:cantSplit/>
        <w:trHeight w:hRule="exact" w:val="3969"/>
      </w:trPr>
      <w:tc>
        <w:tcPr>
          <w:tcW w:w="335" w:type="dxa"/>
          <w:tcMar>
            <w:left w:w="0" w:type="dxa"/>
            <w:right w:w="0" w:type="dxa"/>
          </w:tcMar>
          <w:textDirection w:val="tbRl"/>
        </w:tcPr>
        <w:p w:rsidR="004B216A" w:rsidRPr="005F7F9A" w:rsidRDefault="004B216A" w:rsidP="00253F3D">
          <w:pPr>
            <w:pStyle w:val="Header"/>
            <w:framePr w:w="737" w:h="11907" w:hRule="exact" w:wrap="around" w:vAnchor="page" w:hAnchor="page" w:x="16091" w:y="1" w:anchorLock="1"/>
            <w:rPr>
              <w:sz w:val="16"/>
              <w:szCs w:val="16"/>
            </w:rPr>
          </w:pPr>
          <w:r>
            <w:fldChar w:fldCharType="begin"/>
          </w:r>
          <w:r>
            <w:instrText xml:space="preserve"> AUTOTEXT </w:instrText>
          </w:r>
          <w:r>
            <w:fldChar w:fldCharType="begin"/>
          </w:r>
          <w:r>
            <w:instrText xml:space="preserve"> docvariable "UserLandscapeLogo" </w:instrText>
          </w:r>
          <w:r>
            <w:fldChar w:fldCharType="separate"/>
          </w:r>
          <w:r w:rsidR="005C43DC">
            <w:instrText>LDBLogo</w:instrText>
          </w:r>
          <w:r>
            <w:fldChar w:fldCharType="end"/>
          </w:r>
          <w:r>
            <w:instrText xml:space="preserve"> </w:instrText>
          </w:r>
          <w:r>
            <w:fldChar w:fldCharType="separate"/>
          </w:r>
          <w:r w:rsidR="005C43DC">
            <w:rPr>
              <w:noProof/>
            </w:rPr>
            <w:drawing>
              <wp:inline distT="0" distB="0" distL="0" distR="0">
                <wp:extent cx="180975" cy="1200150"/>
                <wp:effectExtent l="19050" t="0" r="9525" b="0"/>
                <wp:docPr id="14" name="Picture 14" descr="DB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_logo_ls"/>
                        <pic:cNvPicPr>
                          <a:picLocks noChangeAspect="1" noChangeArrowheads="1"/>
                        </pic:cNvPicPr>
                      </pic:nvPicPr>
                      <pic:blipFill>
                        <a:blip r:embed="rId1"/>
                        <a:srcRect/>
                        <a:stretch>
                          <a:fillRect/>
                        </a:stretch>
                      </pic:blipFill>
                      <pic:spPr bwMode="auto">
                        <a:xfrm>
                          <a:off x="0" y="0"/>
                          <a:ext cx="180975" cy="1200150"/>
                        </a:xfrm>
                        <a:prstGeom prst="rect">
                          <a:avLst/>
                        </a:prstGeom>
                        <a:noFill/>
                        <a:ln w="9525">
                          <a:noFill/>
                          <a:miter lim="800000"/>
                          <a:headEnd/>
                          <a:tailEnd/>
                        </a:ln>
                      </pic:spPr>
                    </pic:pic>
                  </a:graphicData>
                </a:graphic>
              </wp:inline>
            </w:drawing>
          </w:r>
          <w:r>
            <w:fldChar w:fldCharType="end"/>
          </w:r>
        </w:p>
      </w:tc>
      <w:tc>
        <w:tcPr>
          <w:tcW w:w="170" w:type="dxa"/>
          <w:tcMar>
            <w:left w:w="0" w:type="dxa"/>
            <w:right w:w="0" w:type="dxa"/>
          </w:tcMar>
          <w:textDirection w:val="tbRl"/>
          <w:vAlign w:val="center"/>
        </w:tcPr>
        <w:p w:rsidR="004B216A" w:rsidRDefault="004B216A" w:rsidP="00253F3D">
          <w:pPr>
            <w:framePr w:w="737" w:h="11907" w:hRule="exact" w:wrap="around" w:vAnchor="page" w:hAnchor="page" w:x="16091" w:y="1" w:anchorLock="1"/>
          </w:pPr>
        </w:p>
      </w:tc>
      <w:tc>
        <w:tcPr>
          <w:tcW w:w="236" w:type="dxa"/>
          <w:shd w:val="clear" w:color="auto" w:fill="002E62"/>
          <w:textDirection w:val="tbRl"/>
        </w:tcPr>
        <w:p w:rsidR="004B216A" w:rsidRDefault="004B216A" w:rsidP="00253F3D">
          <w:pPr>
            <w:framePr w:w="737" w:h="11907" w:hRule="exact" w:wrap="around" w:vAnchor="page" w:hAnchor="page" w:x="16091" w:y="1" w:anchorLock="1"/>
          </w:pPr>
        </w:p>
      </w:tc>
    </w:tr>
  </w:tbl>
  <w:tbl>
    <w:tblPr>
      <w:tblpPr w:vertAnchor="page" w:horzAnchor="page" w:tblpX="1" w:tblpY="1"/>
      <w:tblOverlap w:val="never"/>
      <w:tblW w:w="11907" w:type="dxa"/>
      <w:tblLayout w:type="fixed"/>
      <w:tblCellMar>
        <w:left w:w="0" w:type="dxa"/>
        <w:right w:w="0" w:type="dxa"/>
      </w:tblCellMar>
      <w:tblLook w:val="01E0" w:firstRow="1" w:lastRow="1" w:firstColumn="1" w:lastColumn="1" w:noHBand="0" w:noVBand="0"/>
    </w:tblPr>
    <w:tblGrid>
      <w:gridCol w:w="7788"/>
      <w:gridCol w:w="211"/>
      <w:gridCol w:w="3229"/>
      <w:gridCol w:w="679"/>
    </w:tblGrid>
    <w:tr w:rsidR="004B216A">
      <w:trPr>
        <w:trHeight w:hRule="exact" w:val="510"/>
      </w:trPr>
      <w:tc>
        <w:tcPr>
          <w:tcW w:w="7788" w:type="dxa"/>
          <w:shd w:val="clear" w:color="auto" w:fill="002E62"/>
          <w:vAlign w:val="center"/>
        </w:tcPr>
        <w:p w:rsidR="004B216A" w:rsidRPr="003C0DC6" w:rsidRDefault="004B216A" w:rsidP="00253F3D">
          <w:pPr>
            <w:pStyle w:val="Header"/>
            <w:rPr>
              <w:lang w:val="en-US"/>
            </w:rPr>
          </w:pPr>
        </w:p>
      </w:tc>
      <w:tc>
        <w:tcPr>
          <w:tcW w:w="211" w:type="dxa"/>
          <w:shd w:val="clear" w:color="auto" w:fill="002E62"/>
          <w:vAlign w:val="center"/>
        </w:tcPr>
        <w:p w:rsidR="004B216A" w:rsidRPr="003C0DC6" w:rsidRDefault="004B216A" w:rsidP="00253F3D">
          <w:pPr>
            <w:pStyle w:val="Header"/>
            <w:rPr>
              <w:lang w:val="en-US"/>
            </w:rPr>
          </w:pPr>
        </w:p>
      </w:tc>
      <w:tc>
        <w:tcPr>
          <w:tcW w:w="3229" w:type="dxa"/>
          <w:shd w:val="clear" w:color="auto" w:fill="002E62"/>
          <w:vAlign w:val="center"/>
        </w:tcPr>
        <w:p w:rsidR="004B216A" w:rsidRPr="003C0DC6" w:rsidRDefault="004B216A" w:rsidP="00253F3D">
          <w:pPr>
            <w:pStyle w:val="Logo"/>
            <w:rPr>
              <w:lang w:val="en-US"/>
            </w:rPr>
          </w:pPr>
        </w:p>
      </w:tc>
      <w:tc>
        <w:tcPr>
          <w:tcW w:w="679" w:type="dxa"/>
          <w:shd w:val="clear" w:color="auto" w:fill="002E62"/>
          <w:vAlign w:val="center"/>
        </w:tcPr>
        <w:p w:rsidR="004B216A" w:rsidRDefault="004B216A" w:rsidP="00253F3D">
          <w:pPr>
            <w:pStyle w:val="Header"/>
          </w:pPr>
        </w:p>
      </w:tc>
    </w:tr>
    <w:tr w:rsidR="004B216A">
      <w:trPr>
        <w:trHeight w:hRule="exact" w:val="227"/>
      </w:trPr>
      <w:tc>
        <w:tcPr>
          <w:tcW w:w="7788" w:type="dxa"/>
          <w:shd w:val="clear" w:color="auto" w:fill="BAC7C2"/>
          <w:vAlign w:val="center"/>
        </w:tcPr>
        <w:p w:rsidR="004B216A" w:rsidRPr="003C0DC6" w:rsidRDefault="004B216A" w:rsidP="00253F3D">
          <w:pPr>
            <w:pStyle w:val="BannerText"/>
            <w:rPr>
              <w:lang w:val="en-US"/>
            </w:rPr>
          </w:pPr>
        </w:p>
      </w:tc>
      <w:tc>
        <w:tcPr>
          <w:tcW w:w="211" w:type="dxa"/>
          <w:shd w:val="clear" w:color="auto" w:fill="auto"/>
          <w:vAlign w:val="center"/>
        </w:tcPr>
        <w:p w:rsidR="004B216A" w:rsidRPr="003C0DC6" w:rsidRDefault="004B216A" w:rsidP="00253F3D">
          <w:pPr>
            <w:pStyle w:val="Header"/>
            <w:rPr>
              <w:lang w:val="en-US"/>
            </w:rPr>
          </w:pPr>
        </w:p>
      </w:tc>
      <w:tc>
        <w:tcPr>
          <w:tcW w:w="3229" w:type="dxa"/>
          <w:shd w:val="clear" w:color="auto" w:fill="auto"/>
          <w:vAlign w:val="center"/>
        </w:tcPr>
        <w:p w:rsidR="004B216A" w:rsidRPr="003C0DC6" w:rsidRDefault="004B216A" w:rsidP="00253F3D">
          <w:pPr>
            <w:pStyle w:val="Header"/>
            <w:rPr>
              <w:lang w:val="en-US"/>
            </w:rPr>
          </w:pPr>
        </w:p>
      </w:tc>
      <w:tc>
        <w:tcPr>
          <w:tcW w:w="679" w:type="dxa"/>
          <w:shd w:val="clear" w:color="auto" w:fill="auto"/>
          <w:vAlign w:val="center"/>
        </w:tcPr>
        <w:p w:rsidR="004B216A" w:rsidRDefault="004B216A" w:rsidP="00253F3D">
          <w:pPr>
            <w:pStyle w:val="Header"/>
          </w:pPr>
        </w:p>
      </w:tc>
    </w:tr>
  </w:tbl>
  <w:p w:rsidR="004B216A" w:rsidRPr="00AC2587" w:rsidRDefault="004B216A" w:rsidP="00253F3D">
    <w:pPr>
      <w:pStyle w:val="Header"/>
    </w:pPr>
  </w:p>
  <w:p w:rsidR="004B216A" w:rsidRDefault="004B216A" w:rsidP="00253F3D">
    <w:pPr>
      <w:pStyle w:val="Header"/>
    </w:pPr>
  </w:p>
  <w:p w:rsidR="004B216A" w:rsidRPr="00BA386B" w:rsidRDefault="004B216A" w:rsidP="00253F3D">
    <w:pPr>
      <w:pStyle w:val="Header0"/>
    </w:pPr>
  </w:p>
  <w:p w:rsidR="004B216A" w:rsidRPr="00282CDA" w:rsidRDefault="004B216A" w:rsidP="00253F3D">
    <w:pPr>
      <w:pStyle w:val="Header0"/>
    </w:pPr>
  </w:p>
  <w:p w:rsidR="004B216A" w:rsidRPr="00253F3D" w:rsidRDefault="004B216A" w:rsidP="00253F3D">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0C2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2A9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68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5AF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6A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4A8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3A5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897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54B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6437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53771"/>
    <w:multiLevelType w:val="hybridMultilevel"/>
    <w:tmpl w:val="1E5C0E86"/>
    <w:lvl w:ilvl="0" w:tplc="85BC2718">
      <w:start w:val="1"/>
      <w:numFmt w:val="bullet"/>
      <w:lvlText w:val="-"/>
      <w:lvlJc w:val="left"/>
      <w:pPr>
        <w:tabs>
          <w:tab w:val="num" w:pos="567"/>
        </w:tabs>
        <w:ind w:left="567" w:hanging="283"/>
      </w:pPr>
      <w:rPr>
        <w:rFonts w:ascii="Courier New" w:hAnsi="Courier New" w:hint="default"/>
        <w:b w:val="0"/>
        <w:i w:val="0"/>
        <w:color w:val="B4191E"/>
        <w:sz w:val="16"/>
        <w:szCs w:val="16"/>
      </w:rPr>
    </w:lvl>
    <w:lvl w:ilvl="1" w:tplc="462EE600">
      <w:start w:val="1"/>
      <w:numFmt w:val="bullet"/>
      <w:lvlText w:val="-"/>
      <w:lvlJc w:val="left"/>
      <w:pPr>
        <w:tabs>
          <w:tab w:val="num" w:pos="1440"/>
        </w:tabs>
        <w:ind w:left="1440" w:hanging="360"/>
      </w:pPr>
      <w:rPr>
        <w:rFonts w:ascii="Courier New" w:hAnsi="Courier New" w:hint="default"/>
        <w:b w:val="0"/>
        <w:i w:val="0"/>
        <w:color w:val="B4191E"/>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9377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202A8E"/>
    <w:multiLevelType w:val="hybridMultilevel"/>
    <w:tmpl w:val="AF000E88"/>
    <w:lvl w:ilvl="0" w:tplc="4F8ACD18">
      <w:numFmt w:val="bullet"/>
      <w:lvlText w:val="-"/>
      <w:lvlJc w:val="left"/>
      <w:pPr>
        <w:ind w:left="720" w:hanging="360"/>
      </w:pPr>
      <w:rPr>
        <w:rFonts w:ascii="Danske Text" w:eastAsia="Cambria" w:hAnsi="Danske Text" w:cs="Danske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AE24EB"/>
    <w:multiLevelType w:val="hybridMultilevel"/>
    <w:tmpl w:val="FA567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D30BE"/>
    <w:multiLevelType w:val="hybridMultilevel"/>
    <w:tmpl w:val="5E08C58A"/>
    <w:lvl w:ilvl="0" w:tplc="1A2664D2">
      <w:start w:val="1"/>
      <w:numFmt w:val="bullet"/>
      <w:lvlText w:val="-"/>
      <w:lvlJc w:val="left"/>
      <w:pPr>
        <w:ind w:left="720" w:hanging="360"/>
      </w:pPr>
      <w:rPr>
        <w:rFonts w:ascii="Danske Text" w:eastAsia="Times New Roman" w:hAnsi="Danske Tex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9F682C"/>
    <w:multiLevelType w:val="hybridMultilevel"/>
    <w:tmpl w:val="FF308D0E"/>
    <w:lvl w:ilvl="0" w:tplc="46269B72">
      <w:start w:val="1"/>
      <w:numFmt w:val="bullet"/>
      <w:pStyle w:val="MarginBullettext"/>
      <w:lvlText w:val=""/>
      <w:lvlJc w:val="left"/>
      <w:pPr>
        <w:tabs>
          <w:tab w:val="num" w:pos="284"/>
        </w:tabs>
        <w:ind w:left="284" w:hanging="227"/>
      </w:pPr>
      <w:rPr>
        <w:rFonts w:ascii="Symbol" w:hAnsi="Symbol" w:hint="default"/>
        <w:b w:val="0"/>
        <w:i w:val="0"/>
        <w:color w:val="002E62"/>
        <w:sz w:val="16"/>
        <w:szCs w:val="16"/>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5138C"/>
    <w:multiLevelType w:val="hybridMultilevel"/>
    <w:tmpl w:val="7B22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A1D6C"/>
    <w:multiLevelType w:val="multilevel"/>
    <w:tmpl w:val="4C4C71BC"/>
    <w:numStyleLink w:val="DanskeBulletList"/>
  </w:abstractNum>
  <w:abstractNum w:abstractNumId="18" w15:restartNumberingAfterBreak="0">
    <w:nsid w:val="176119A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86DE4"/>
    <w:multiLevelType w:val="hybridMultilevel"/>
    <w:tmpl w:val="A50E9C50"/>
    <w:lvl w:ilvl="0" w:tplc="446673E6">
      <w:numFmt w:val="bullet"/>
      <w:lvlText w:val="-"/>
      <w:lvlJc w:val="left"/>
      <w:pPr>
        <w:ind w:left="720" w:hanging="360"/>
      </w:pPr>
      <w:rPr>
        <w:rFonts w:ascii="Danske Text" w:eastAsia="Cambria" w:hAnsi="Danske Text" w:cs="Danske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41336D"/>
    <w:multiLevelType w:val="multilevel"/>
    <w:tmpl w:val="7FCE931C"/>
    <w:lvl w:ilvl="0">
      <w:start w:val="1"/>
      <w:numFmt w:val="bullet"/>
      <w:lvlText w:val=""/>
      <w:lvlJc w:val="left"/>
      <w:pPr>
        <w:tabs>
          <w:tab w:val="num" w:pos="284"/>
        </w:tabs>
        <w:ind w:left="284" w:hanging="284"/>
      </w:pPr>
      <w:rPr>
        <w:rFonts w:ascii="Wingdings" w:hAnsi="Wingdings" w:hint="default"/>
        <w:b w:val="0"/>
        <w:i w:val="0"/>
        <w:color w:val="B4191E"/>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722642"/>
    <w:multiLevelType w:val="hybridMultilevel"/>
    <w:tmpl w:val="CFD80FEE"/>
    <w:lvl w:ilvl="0" w:tplc="4DFC2786">
      <w:start w:val="1"/>
      <w:numFmt w:val="bullet"/>
      <w:lvlText w:val=""/>
      <w:lvlJc w:val="left"/>
      <w:pPr>
        <w:tabs>
          <w:tab w:val="num" w:pos="340"/>
        </w:tabs>
        <w:ind w:left="340" w:hanging="283"/>
      </w:pPr>
      <w:rPr>
        <w:rFonts w:ascii="Wingdings" w:hAnsi="Wingdings" w:hint="default"/>
        <w:b w:val="0"/>
        <w:i w:val="0"/>
        <w:color w:val="B4191E"/>
        <w:sz w:val="16"/>
        <w:szCs w:val="16"/>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DA25BE"/>
    <w:multiLevelType w:val="multilevel"/>
    <w:tmpl w:val="4C4C71BC"/>
    <w:numStyleLink w:val="DanskeBulletList"/>
  </w:abstractNum>
  <w:abstractNum w:abstractNumId="23" w15:restartNumberingAfterBreak="0">
    <w:nsid w:val="1E915B1D"/>
    <w:multiLevelType w:val="multilevel"/>
    <w:tmpl w:val="DA964654"/>
    <w:lvl w:ilvl="0">
      <w:start w:val="1"/>
      <w:numFmt w:val="decimal"/>
      <w:lvlText w:val="%1."/>
      <w:lvlJc w:val="left"/>
      <w:pPr>
        <w:tabs>
          <w:tab w:val="num" w:pos="284"/>
        </w:tabs>
        <w:ind w:left="284" w:hanging="284"/>
      </w:pPr>
      <w:rPr>
        <w:rFonts w:ascii="Times New Roman" w:hAnsi="Times New Roman" w:hint="default"/>
        <w:b w:val="0"/>
        <w:i w:val="0"/>
        <w:color w:val="auto"/>
        <w:sz w:val="18"/>
        <w:szCs w:val="18"/>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4" w15:restartNumberingAfterBreak="0">
    <w:nsid w:val="28FD3DA3"/>
    <w:multiLevelType w:val="hybridMultilevel"/>
    <w:tmpl w:val="BA30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D17A46"/>
    <w:multiLevelType w:val="hybridMultilevel"/>
    <w:tmpl w:val="7FCE931C"/>
    <w:lvl w:ilvl="0" w:tplc="27680B34">
      <w:start w:val="1"/>
      <w:numFmt w:val="bullet"/>
      <w:lvlText w:val=""/>
      <w:lvlJc w:val="left"/>
      <w:pPr>
        <w:tabs>
          <w:tab w:val="num" w:pos="284"/>
        </w:tabs>
        <w:ind w:left="284" w:hanging="284"/>
      </w:pPr>
      <w:rPr>
        <w:rFonts w:ascii="Wingdings" w:hAnsi="Wingdings" w:hint="default"/>
        <w:b w:val="0"/>
        <w:i w:val="0"/>
        <w:color w:val="B4191E"/>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8B770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D522A3"/>
    <w:multiLevelType w:val="multilevel"/>
    <w:tmpl w:val="4C4C71BC"/>
    <w:styleLink w:val="DanskeBulletList"/>
    <w:lvl w:ilvl="0">
      <w:start w:val="1"/>
      <w:numFmt w:val="bullet"/>
      <w:pStyle w:val="Bullet"/>
      <w:lvlText w:val=""/>
      <w:lvlJc w:val="left"/>
      <w:pPr>
        <w:tabs>
          <w:tab w:val="num" w:pos="284"/>
        </w:tabs>
        <w:ind w:left="284" w:hanging="284"/>
      </w:pPr>
      <w:rPr>
        <w:rFonts w:ascii="Symbol" w:hAnsi="Symbol" w:hint="default"/>
        <w:b w:val="0"/>
        <w:i w:val="0"/>
        <w:color w:val="002E62"/>
        <w:sz w:val="16"/>
        <w:szCs w:val="16"/>
      </w:rPr>
    </w:lvl>
    <w:lvl w:ilvl="1">
      <w:start w:val="1"/>
      <w:numFmt w:val="bullet"/>
      <w:pStyle w:val="Bulletlevel2"/>
      <w:lvlText w:val=""/>
      <w:lvlJc w:val="left"/>
      <w:pPr>
        <w:tabs>
          <w:tab w:val="num" w:pos="567"/>
        </w:tabs>
        <w:ind w:left="567" w:hanging="283"/>
      </w:pPr>
      <w:rPr>
        <w:rFonts w:ascii="Symbol" w:hAnsi="Symbol" w:hint="default"/>
        <w:b w:val="0"/>
        <w:i w:val="0"/>
        <w:color w:val="002E62"/>
        <w:sz w:val="18"/>
        <w:szCs w:val="18"/>
      </w:rPr>
    </w:lvl>
    <w:lvl w:ilvl="2">
      <w:start w:val="1"/>
      <w:numFmt w:val="bullet"/>
      <w:lvlText w:val=""/>
      <w:lvlJc w:val="left"/>
      <w:pPr>
        <w:tabs>
          <w:tab w:val="num" w:pos="851"/>
        </w:tabs>
        <w:ind w:left="851" w:hanging="284"/>
      </w:pPr>
      <w:rPr>
        <w:rFonts w:ascii="Symbol" w:hAnsi="Symbol" w:hint="default"/>
        <w:color w:val="002E62"/>
      </w:rPr>
    </w:lvl>
    <w:lvl w:ilvl="3">
      <w:start w:val="1"/>
      <w:numFmt w:val="bullet"/>
      <w:lvlText w:val=""/>
      <w:lvlJc w:val="left"/>
      <w:pPr>
        <w:tabs>
          <w:tab w:val="num" w:pos="1134"/>
        </w:tabs>
        <w:ind w:left="1134" w:hanging="283"/>
      </w:pPr>
      <w:rPr>
        <w:rFonts w:ascii="Symbol" w:hAnsi="Symbol" w:hint="default"/>
        <w:color w:val="002E62"/>
      </w:rPr>
    </w:lvl>
    <w:lvl w:ilvl="4">
      <w:start w:val="1"/>
      <w:numFmt w:val="bullet"/>
      <w:lvlText w:val=""/>
      <w:lvlJc w:val="left"/>
      <w:pPr>
        <w:tabs>
          <w:tab w:val="num" w:pos="1418"/>
        </w:tabs>
        <w:ind w:left="1418" w:hanging="284"/>
      </w:pPr>
      <w:rPr>
        <w:rFonts w:ascii="Symbol" w:hAnsi="Symbol" w:hint="default"/>
        <w:b w:val="0"/>
        <w:i w:val="0"/>
        <w:color w:val="002E62"/>
        <w:sz w:val="18"/>
        <w:szCs w:val="18"/>
      </w:rPr>
    </w:lvl>
    <w:lvl w:ilvl="5">
      <w:start w:val="1"/>
      <w:numFmt w:val="bullet"/>
      <w:lvlText w:val=""/>
      <w:lvlJc w:val="left"/>
      <w:pPr>
        <w:tabs>
          <w:tab w:val="num" w:pos="1701"/>
        </w:tabs>
        <w:ind w:left="1701" w:hanging="283"/>
      </w:pPr>
      <w:rPr>
        <w:rFonts w:ascii="Symbol" w:hAnsi="Symbol" w:hint="default"/>
        <w:color w:val="002E62"/>
      </w:rPr>
    </w:lvl>
    <w:lvl w:ilvl="6">
      <w:start w:val="1"/>
      <w:numFmt w:val="bullet"/>
      <w:lvlText w:val=""/>
      <w:lvlJc w:val="left"/>
      <w:pPr>
        <w:tabs>
          <w:tab w:val="num" w:pos="1985"/>
        </w:tabs>
        <w:ind w:left="1985" w:hanging="284"/>
      </w:pPr>
      <w:rPr>
        <w:rFonts w:ascii="Symbol" w:hAnsi="Symbol" w:hint="default"/>
        <w:color w:val="002E62"/>
      </w:rPr>
    </w:lvl>
    <w:lvl w:ilvl="7">
      <w:start w:val="1"/>
      <w:numFmt w:val="bullet"/>
      <w:lvlText w:val=""/>
      <w:lvlJc w:val="left"/>
      <w:pPr>
        <w:tabs>
          <w:tab w:val="num" w:pos="2268"/>
        </w:tabs>
        <w:ind w:left="2268" w:hanging="283"/>
      </w:pPr>
      <w:rPr>
        <w:rFonts w:ascii="Symbol" w:hAnsi="Symbol" w:hint="default"/>
        <w:color w:val="002E62"/>
      </w:rPr>
    </w:lvl>
    <w:lvl w:ilvl="8">
      <w:start w:val="1"/>
      <w:numFmt w:val="bullet"/>
      <w:lvlText w:val=""/>
      <w:lvlJc w:val="left"/>
      <w:pPr>
        <w:tabs>
          <w:tab w:val="num" w:pos="2552"/>
        </w:tabs>
        <w:ind w:left="2552" w:hanging="284"/>
      </w:pPr>
      <w:rPr>
        <w:rFonts w:ascii="Symbol" w:hAnsi="Symbol" w:hint="default"/>
        <w:b w:val="0"/>
        <w:i w:val="0"/>
        <w:color w:val="002E62"/>
        <w:sz w:val="18"/>
        <w:szCs w:val="18"/>
      </w:rPr>
    </w:lvl>
  </w:abstractNum>
  <w:abstractNum w:abstractNumId="28" w15:restartNumberingAfterBreak="0">
    <w:nsid w:val="497E2555"/>
    <w:multiLevelType w:val="multilevel"/>
    <w:tmpl w:val="4C723F46"/>
    <w:lvl w:ilvl="0">
      <w:start w:val="1"/>
      <w:numFmt w:val="decimal"/>
      <w:lvlText w:val="%1."/>
      <w:lvlJc w:val="left"/>
      <w:pPr>
        <w:tabs>
          <w:tab w:val="num" w:pos="284"/>
        </w:tabs>
        <w:ind w:left="284" w:hanging="284"/>
      </w:pPr>
      <w:rPr>
        <w:rFonts w:ascii="Times New Roman" w:hAnsi="Times New Roman" w:hint="default"/>
        <w:b w:val="0"/>
        <w:i w:val="0"/>
        <w:color w:val="auto"/>
        <w:sz w:val="18"/>
        <w:szCs w:val="18"/>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9" w15:restartNumberingAfterBreak="0">
    <w:nsid w:val="5DC63CE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0CE186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74EE14F8"/>
    <w:multiLevelType w:val="multilevel"/>
    <w:tmpl w:val="3F0E8712"/>
    <w:styleLink w:val="DanskeNumberedList"/>
    <w:lvl w:ilvl="0">
      <w:start w:val="1"/>
      <w:numFmt w:val="decimal"/>
      <w:pStyle w:val="BulletNumbered"/>
      <w:lvlText w:val="%1."/>
      <w:lvlJc w:val="left"/>
      <w:pPr>
        <w:tabs>
          <w:tab w:val="num" w:pos="284"/>
        </w:tabs>
        <w:ind w:left="284" w:hanging="284"/>
      </w:pPr>
      <w:rPr>
        <w:rFonts w:ascii="Times New Roman" w:hAnsi="Times New Roman" w:hint="default"/>
        <w:b w:val="0"/>
        <w:i w:val="0"/>
        <w:color w:val="auto"/>
        <w:sz w:val="18"/>
        <w:szCs w:val="18"/>
      </w:rPr>
    </w:lvl>
    <w:lvl w:ilvl="1">
      <w:start w:val="1"/>
      <w:numFmt w:val="lowerLetter"/>
      <w:pStyle w:val="BulletNumberedLevel2"/>
      <w:lvlText w:val="%2."/>
      <w:lvlJc w:val="left"/>
      <w:pPr>
        <w:tabs>
          <w:tab w:val="num" w:pos="567"/>
        </w:tabs>
        <w:ind w:left="567" w:hanging="283"/>
      </w:pPr>
      <w:rPr>
        <w:rFonts w:ascii="Times New Roman" w:hAnsi="Times New Roman" w:hint="default"/>
        <w:b w:val="0"/>
        <w:i w:val="0"/>
        <w:color w:val="auto"/>
        <w:sz w:val="18"/>
        <w:szCs w:val="18"/>
      </w:rPr>
    </w:lvl>
    <w:lvl w:ilvl="2">
      <w:start w:val="1"/>
      <w:numFmt w:val="lowerLetter"/>
      <w:lvlText w:val="%3."/>
      <w:lvlJc w:val="left"/>
      <w:pPr>
        <w:tabs>
          <w:tab w:val="num" w:pos="851"/>
        </w:tabs>
        <w:ind w:left="851" w:hanging="284"/>
      </w:pPr>
      <w:rPr>
        <w:rFonts w:ascii="Times New Roman" w:hAnsi="Times New Roman" w:hint="default"/>
        <w:b w:val="0"/>
        <w:i w:val="0"/>
        <w:color w:val="auto"/>
        <w:sz w:val="18"/>
        <w:szCs w:val="18"/>
      </w:rPr>
    </w:lvl>
    <w:lvl w:ilvl="3">
      <w:start w:val="1"/>
      <w:numFmt w:val="lowerLetter"/>
      <w:lvlText w:val="%4."/>
      <w:lvlJc w:val="left"/>
      <w:pPr>
        <w:tabs>
          <w:tab w:val="num" w:pos="1134"/>
        </w:tabs>
        <w:ind w:left="1134" w:hanging="283"/>
      </w:pPr>
      <w:rPr>
        <w:rFonts w:ascii="Times New Roman" w:hAnsi="Times New Roman" w:hint="default"/>
        <w:b w:val="0"/>
        <w:i w:val="0"/>
        <w:color w:val="auto"/>
        <w:sz w:val="18"/>
        <w:szCs w:val="18"/>
      </w:rPr>
    </w:lvl>
    <w:lvl w:ilvl="4">
      <w:start w:val="1"/>
      <w:numFmt w:val="lowerLetter"/>
      <w:lvlText w:val="%5."/>
      <w:lvlJc w:val="left"/>
      <w:pPr>
        <w:tabs>
          <w:tab w:val="num" w:pos="1418"/>
        </w:tabs>
        <w:ind w:left="1418" w:hanging="284"/>
      </w:pPr>
      <w:rPr>
        <w:rFonts w:ascii="Times New Roman" w:hAnsi="Times New Roman" w:hint="default"/>
        <w:b w:val="0"/>
        <w:i w:val="0"/>
        <w:color w:val="auto"/>
        <w:sz w:val="18"/>
        <w:szCs w:val="18"/>
      </w:rPr>
    </w:lvl>
    <w:lvl w:ilvl="5">
      <w:start w:val="1"/>
      <w:numFmt w:val="lowerLetter"/>
      <w:lvlText w:val="%6."/>
      <w:lvlJc w:val="left"/>
      <w:pPr>
        <w:tabs>
          <w:tab w:val="num" w:pos="1701"/>
        </w:tabs>
        <w:ind w:left="1701" w:hanging="283"/>
      </w:pPr>
      <w:rPr>
        <w:rFonts w:ascii="Times New Roman" w:hAnsi="Times New Roman" w:hint="default"/>
        <w:b w:val="0"/>
        <w:i w:val="0"/>
        <w:sz w:val="18"/>
        <w:szCs w:val="18"/>
      </w:rPr>
    </w:lvl>
    <w:lvl w:ilvl="6">
      <w:start w:val="1"/>
      <w:numFmt w:val="lowerLetter"/>
      <w:lvlText w:val="%7."/>
      <w:lvlJc w:val="left"/>
      <w:pPr>
        <w:tabs>
          <w:tab w:val="num" w:pos="1985"/>
        </w:tabs>
        <w:ind w:left="1985" w:hanging="284"/>
      </w:pPr>
      <w:rPr>
        <w:rFonts w:ascii="Times New Roman" w:hAnsi="Times New Roman" w:hint="default"/>
        <w:b w:val="0"/>
        <w:i w:val="0"/>
        <w:color w:val="auto"/>
        <w:sz w:val="18"/>
        <w:szCs w:val="18"/>
      </w:rPr>
    </w:lvl>
    <w:lvl w:ilvl="7">
      <w:start w:val="1"/>
      <w:numFmt w:val="lowerLetter"/>
      <w:lvlText w:val="%8."/>
      <w:lvlJc w:val="left"/>
      <w:pPr>
        <w:tabs>
          <w:tab w:val="num" w:pos="2268"/>
        </w:tabs>
        <w:ind w:left="2268" w:hanging="283"/>
      </w:pPr>
      <w:rPr>
        <w:rFonts w:ascii="Times New Roman" w:hAnsi="Times New Roman" w:hint="default"/>
        <w:b w:val="0"/>
        <w:i w:val="0"/>
        <w:color w:val="auto"/>
        <w:sz w:val="18"/>
        <w:szCs w:val="18"/>
      </w:rPr>
    </w:lvl>
    <w:lvl w:ilvl="8">
      <w:start w:val="1"/>
      <w:numFmt w:val="lowerLetter"/>
      <w:lvlText w:val="%9."/>
      <w:lvlJc w:val="left"/>
      <w:pPr>
        <w:tabs>
          <w:tab w:val="num" w:pos="2552"/>
        </w:tabs>
        <w:ind w:left="2552" w:hanging="284"/>
      </w:pPr>
      <w:rPr>
        <w:rFonts w:ascii="Times New Roman" w:hAnsi="Times New Roman" w:hint="default"/>
        <w:b w:val="0"/>
        <w:i w:val="0"/>
        <w:color w:val="auto"/>
        <w:sz w:val="18"/>
        <w:szCs w:val="18"/>
      </w:rPr>
    </w:lvl>
  </w:abstractNum>
  <w:abstractNum w:abstractNumId="32" w15:restartNumberingAfterBreak="0">
    <w:nsid w:val="7786244E"/>
    <w:multiLevelType w:val="multilevel"/>
    <w:tmpl w:val="CDE2E12C"/>
    <w:lvl w:ilvl="0">
      <w:start w:val="1"/>
      <w:numFmt w:val="bullet"/>
      <w:lvlText w:val=""/>
      <w:lvlJc w:val="left"/>
      <w:pPr>
        <w:tabs>
          <w:tab w:val="num" w:pos="340"/>
        </w:tabs>
        <w:ind w:left="340" w:hanging="283"/>
      </w:pPr>
      <w:rPr>
        <w:rFonts w:ascii="Wingdings" w:hAnsi="Wingdings" w:hint="default"/>
        <w:b w:val="0"/>
        <w:i w:val="0"/>
        <w:color w:val="B4191E"/>
        <w:sz w:val="16"/>
        <w:szCs w:val="16"/>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1"/>
  </w:num>
  <w:num w:numId="4">
    <w:abstractNumId w:val="25"/>
  </w:num>
  <w:num w:numId="5">
    <w:abstractNumId w:val="22"/>
  </w:num>
  <w:num w:numId="6">
    <w:abstractNumId w:val="21"/>
  </w:num>
  <w:num w:numId="7">
    <w:abstractNumId w:val="25"/>
  </w:num>
  <w:num w:numId="8">
    <w:abstractNumId w:val="22"/>
  </w:num>
  <w:num w:numId="9">
    <w:abstractNumId w:val="21"/>
  </w:num>
  <w:num w:numId="10">
    <w:abstractNumId w:val="25"/>
  </w:num>
  <w:num w:numId="11">
    <w:abstractNumId w:val="22"/>
  </w:num>
  <w:num w:numId="12">
    <w:abstractNumId w:val="21"/>
  </w:num>
  <w:num w:numId="13">
    <w:abstractNumId w:val="25"/>
  </w:num>
  <w:num w:numId="14">
    <w:abstractNumId w:val="22"/>
  </w:num>
  <w:num w:numId="15">
    <w:abstractNumId w:val="21"/>
  </w:num>
  <w:num w:numId="16">
    <w:abstractNumId w:val="10"/>
  </w:num>
  <w:num w:numId="17">
    <w:abstractNumId w:val="20"/>
  </w:num>
  <w:num w:numId="18">
    <w:abstractNumId w:val="27"/>
  </w:num>
  <w:num w:numId="19">
    <w:abstractNumId w:val="26"/>
  </w:num>
  <w:num w:numId="20">
    <w:abstractNumId w:val="29"/>
  </w:num>
  <w:num w:numId="21">
    <w:abstractNumId w:val="30"/>
  </w:num>
  <w:num w:numId="22">
    <w:abstractNumId w:val="23"/>
  </w:num>
  <w:num w:numId="23">
    <w:abstractNumId w:val="31"/>
  </w:num>
  <w:num w:numId="24">
    <w:abstractNumId w:val="28"/>
  </w:num>
  <w:num w:numId="25">
    <w:abstractNumId w:val="11"/>
  </w:num>
  <w:num w:numId="26">
    <w:abstractNumId w:val="32"/>
  </w:num>
  <w:num w:numId="27">
    <w:abstractNumId w:val="15"/>
  </w:num>
  <w:num w:numId="28">
    <w:abstractNumId w:val="17"/>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27"/>
  </w:num>
  <w:num w:numId="42">
    <w:abstractNumId w:val="16"/>
  </w:num>
  <w:num w:numId="43">
    <w:abstractNumId w:val="13"/>
  </w:num>
  <w:num w:numId="44">
    <w:abstractNumId w:val="24"/>
  </w:num>
  <w:num w:numId="45">
    <w:abstractNumId w:val="14"/>
  </w:num>
  <w:num w:numId="46">
    <w:abstractNumId w:val="1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rawingGridHorizontalSpacing w:val="9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alystOption" w:val="False"/>
    <w:docVar w:name="AnalystTable" w:val="True"/>
    <w:docVar w:name="CorporateDisclaimer" w:val=" "/>
    <w:docVar w:name="CorporateDisclosure" w:val=" "/>
    <w:docVar w:name="MS_Client" w:val="Danske Markets"/>
    <w:docVar w:name="MS_MediaSterling" w:val="True"/>
    <w:docVar w:name="MS_TemplateType" w:val="1"/>
    <w:docVar w:name="UserBannerText" w:val="Investment Research — General Market Conditions"/>
    <w:docVar w:name="UserblnChartHolder" w:val="False"/>
    <w:docVar w:name="UserChartHoldersCount" w:val="0"/>
    <w:docVar w:name="UserDate" w:val="18 joulukuu 2012"/>
    <w:docVar w:name="UserDocumentSubtitle" w:val="Subtitle"/>
    <w:docVar w:name="UserDocumentTitle" w:val="Title"/>
    <w:docVar w:name="UserEventsTable" w:val="False"/>
    <w:docVar w:name="UserFPLogo" w:val="FPDBLogo"/>
    <w:docVar w:name="UserInsertedChartHolders" w:val="0"/>
    <w:docVar w:name="UserKeyPointsTable" w:val="True"/>
    <w:docVar w:name="UserLandscapeLogo" w:val="LDBLogo"/>
    <w:docVar w:name="UserLogo" w:val="DBLogo"/>
    <w:docVar w:name="UserPublication" w:val="Daily Note"/>
    <w:docVar w:name="UserWebsite" w:val=" "/>
  </w:docVars>
  <w:rsids>
    <w:rsidRoot w:val="00292CAB"/>
    <w:rsid w:val="00000164"/>
    <w:rsid w:val="00000A7C"/>
    <w:rsid w:val="00000DC4"/>
    <w:rsid w:val="000019E4"/>
    <w:rsid w:val="00001F65"/>
    <w:rsid w:val="0000308E"/>
    <w:rsid w:val="00003263"/>
    <w:rsid w:val="00003583"/>
    <w:rsid w:val="00003B6D"/>
    <w:rsid w:val="00005335"/>
    <w:rsid w:val="00005F16"/>
    <w:rsid w:val="0000693F"/>
    <w:rsid w:val="00006C05"/>
    <w:rsid w:val="000071A7"/>
    <w:rsid w:val="00007205"/>
    <w:rsid w:val="0000784E"/>
    <w:rsid w:val="000079E5"/>
    <w:rsid w:val="00010CDE"/>
    <w:rsid w:val="00010F2C"/>
    <w:rsid w:val="00011370"/>
    <w:rsid w:val="00011857"/>
    <w:rsid w:val="000130A9"/>
    <w:rsid w:val="000139C2"/>
    <w:rsid w:val="00013B1C"/>
    <w:rsid w:val="00013B78"/>
    <w:rsid w:val="0001403F"/>
    <w:rsid w:val="0001446C"/>
    <w:rsid w:val="00014C39"/>
    <w:rsid w:val="000151B2"/>
    <w:rsid w:val="00016AE5"/>
    <w:rsid w:val="000171BB"/>
    <w:rsid w:val="000203C9"/>
    <w:rsid w:val="000212D4"/>
    <w:rsid w:val="00021C10"/>
    <w:rsid w:val="000221F1"/>
    <w:rsid w:val="00022654"/>
    <w:rsid w:val="000235C8"/>
    <w:rsid w:val="000235CA"/>
    <w:rsid w:val="0002411E"/>
    <w:rsid w:val="0002517E"/>
    <w:rsid w:val="000266F4"/>
    <w:rsid w:val="00026B97"/>
    <w:rsid w:val="0003342B"/>
    <w:rsid w:val="00033B8A"/>
    <w:rsid w:val="000373F1"/>
    <w:rsid w:val="00037C4C"/>
    <w:rsid w:val="00041044"/>
    <w:rsid w:val="000414B6"/>
    <w:rsid w:val="00041CAA"/>
    <w:rsid w:val="00044053"/>
    <w:rsid w:val="00044EB7"/>
    <w:rsid w:val="000455BA"/>
    <w:rsid w:val="000458E2"/>
    <w:rsid w:val="00046ADC"/>
    <w:rsid w:val="000508CD"/>
    <w:rsid w:val="00051058"/>
    <w:rsid w:val="00051656"/>
    <w:rsid w:val="00051CEF"/>
    <w:rsid w:val="00051D01"/>
    <w:rsid w:val="000527E3"/>
    <w:rsid w:val="00052B35"/>
    <w:rsid w:val="00052C21"/>
    <w:rsid w:val="0005309E"/>
    <w:rsid w:val="000549C7"/>
    <w:rsid w:val="00054C29"/>
    <w:rsid w:val="00054E8D"/>
    <w:rsid w:val="00055CCB"/>
    <w:rsid w:val="000564B3"/>
    <w:rsid w:val="00056995"/>
    <w:rsid w:val="00057198"/>
    <w:rsid w:val="00057E7A"/>
    <w:rsid w:val="000604BD"/>
    <w:rsid w:val="000607A5"/>
    <w:rsid w:val="00060CA7"/>
    <w:rsid w:val="00061F7E"/>
    <w:rsid w:val="00063954"/>
    <w:rsid w:val="000659A0"/>
    <w:rsid w:val="00065B76"/>
    <w:rsid w:val="00066697"/>
    <w:rsid w:val="000668DF"/>
    <w:rsid w:val="00066A41"/>
    <w:rsid w:val="00067271"/>
    <w:rsid w:val="00067DF7"/>
    <w:rsid w:val="000704A6"/>
    <w:rsid w:val="000707B4"/>
    <w:rsid w:val="00072D05"/>
    <w:rsid w:val="000731AE"/>
    <w:rsid w:val="000733B7"/>
    <w:rsid w:val="00075E15"/>
    <w:rsid w:val="00076139"/>
    <w:rsid w:val="000771E7"/>
    <w:rsid w:val="0008197E"/>
    <w:rsid w:val="00082C56"/>
    <w:rsid w:val="00083DCF"/>
    <w:rsid w:val="00084114"/>
    <w:rsid w:val="00084176"/>
    <w:rsid w:val="0008477A"/>
    <w:rsid w:val="00085193"/>
    <w:rsid w:val="000866EF"/>
    <w:rsid w:val="00087916"/>
    <w:rsid w:val="000931DB"/>
    <w:rsid w:val="00094FDF"/>
    <w:rsid w:val="0009529B"/>
    <w:rsid w:val="00095B90"/>
    <w:rsid w:val="00095DF5"/>
    <w:rsid w:val="000966AB"/>
    <w:rsid w:val="000A018A"/>
    <w:rsid w:val="000A048C"/>
    <w:rsid w:val="000A0E24"/>
    <w:rsid w:val="000A184A"/>
    <w:rsid w:val="000A590F"/>
    <w:rsid w:val="000A6CA9"/>
    <w:rsid w:val="000A72CE"/>
    <w:rsid w:val="000A7530"/>
    <w:rsid w:val="000A7E9D"/>
    <w:rsid w:val="000B042B"/>
    <w:rsid w:val="000B17C6"/>
    <w:rsid w:val="000B1DC7"/>
    <w:rsid w:val="000B6699"/>
    <w:rsid w:val="000B72B4"/>
    <w:rsid w:val="000B7AEC"/>
    <w:rsid w:val="000B7E9D"/>
    <w:rsid w:val="000C1E2C"/>
    <w:rsid w:val="000C3D6D"/>
    <w:rsid w:val="000C481A"/>
    <w:rsid w:val="000C6626"/>
    <w:rsid w:val="000C6786"/>
    <w:rsid w:val="000C73B4"/>
    <w:rsid w:val="000C7439"/>
    <w:rsid w:val="000C74E6"/>
    <w:rsid w:val="000C793B"/>
    <w:rsid w:val="000D257C"/>
    <w:rsid w:val="000D3075"/>
    <w:rsid w:val="000D5BC5"/>
    <w:rsid w:val="000E05E8"/>
    <w:rsid w:val="000E16C7"/>
    <w:rsid w:val="000E1FE5"/>
    <w:rsid w:val="000E213B"/>
    <w:rsid w:val="000E2694"/>
    <w:rsid w:val="000E3A6A"/>
    <w:rsid w:val="000E3DE0"/>
    <w:rsid w:val="000E412C"/>
    <w:rsid w:val="000E4BA3"/>
    <w:rsid w:val="000E51ED"/>
    <w:rsid w:val="000E7045"/>
    <w:rsid w:val="000E7FBA"/>
    <w:rsid w:val="000F03B2"/>
    <w:rsid w:val="000F0B00"/>
    <w:rsid w:val="000F16D1"/>
    <w:rsid w:val="000F1B03"/>
    <w:rsid w:val="000F1F38"/>
    <w:rsid w:val="000F3A32"/>
    <w:rsid w:val="000F41BF"/>
    <w:rsid w:val="000F4BA7"/>
    <w:rsid w:val="000F5E85"/>
    <w:rsid w:val="000F691F"/>
    <w:rsid w:val="001011DB"/>
    <w:rsid w:val="00101803"/>
    <w:rsid w:val="0010198B"/>
    <w:rsid w:val="001027C6"/>
    <w:rsid w:val="00102E09"/>
    <w:rsid w:val="0010326E"/>
    <w:rsid w:val="001034A4"/>
    <w:rsid w:val="00103D2B"/>
    <w:rsid w:val="00103DD8"/>
    <w:rsid w:val="0010505A"/>
    <w:rsid w:val="00106057"/>
    <w:rsid w:val="00106FC8"/>
    <w:rsid w:val="001102CA"/>
    <w:rsid w:val="001104A6"/>
    <w:rsid w:val="00110BED"/>
    <w:rsid w:val="001112D7"/>
    <w:rsid w:val="00111E32"/>
    <w:rsid w:val="0011327A"/>
    <w:rsid w:val="00114642"/>
    <w:rsid w:val="001151F5"/>
    <w:rsid w:val="001167A7"/>
    <w:rsid w:val="0012028D"/>
    <w:rsid w:val="00120535"/>
    <w:rsid w:val="00121AC6"/>
    <w:rsid w:val="0012204B"/>
    <w:rsid w:val="00123B7A"/>
    <w:rsid w:val="00124A89"/>
    <w:rsid w:val="00124B33"/>
    <w:rsid w:val="00125D26"/>
    <w:rsid w:val="00125E3E"/>
    <w:rsid w:val="00125F09"/>
    <w:rsid w:val="001270C1"/>
    <w:rsid w:val="00130BA0"/>
    <w:rsid w:val="001313AB"/>
    <w:rsid w:val="00131A0F"/>
    <w:rsid w:val="00131CA3"/>
    <w:rsid w:val="0013221D"/>
    <w:rsid w:val="001322C3"/>
    <w:rsid w:val="001329D4"/>
    <w:rsid w:val="00132F1C"/>
    <w:rsid w:val="00133B35"/>
    <w:rsid w:val="001345FF"/>
    <w:rsid w:val="00134B8F"/>
    <w:rsid w:val="00137B65"/>
    <w:rsid w:val="001408B7"/>
    <w:rsid w:val="001413E1"/>
    <w:rsid w:val="001420B1"/>
    <w:rsid w:val="001423D5"/>
    <w:rsid w:val="001425AE"/>
    <w:rsid w:val="0014260C"/>
    <w:rsid w:val="001428E7"/>
    <w:rsid w:val="00144C20"/>
    <w:rsid w:val="00144C53"/>
    <w:rsid w:val="00145B50"/>
    <w:rsid w:val="00146741"/>
    <w:rsid w:val="0014679E"/>
    <w:rsid w:val="00150435"/>
    <w:rsid w:val="00150E24"/>
    <w:rsid w:val="001526FB"/>
    <w:rsid w:val="0015335C"/>
    <w:rsid w:val="001537B1"/>
    <w:rsid w:val="001543B6"/>
    <w:rsid w:val="00155857"/>
    <w:rsid w:val="00155BDA"/>
    <w:rsid w:val="0015642A"/>
    <w:rsid w:val="00156558"/>
    <w:rsid w:val="00156B6F"/>
    <w:rsid w:val="00157439"/>
    <w:rsid w:val="00160EA2"/>
    <w:rsid w:val="00163CDC"/>
    <w:rsid w:val="00164707"/>
    <w:rsid w:val="00164B8A"/>
    <w:rsid w:val="00164FCF"/>
    <w:rsid w:val="001658DD"/>
    <w:rsid w:val="00165C11"/>
    <w:rsid w:val="00165E71"/>
    <w:rsid w:val="00166301"/>
    <w:rsid w:val="0016668F"/>
    <w:rsid w:val="0017033E"/>
    <w:rsid w:val="001714D2"/>
    <w:rsid w:val="001718AB"/>
    <w:rsid w:val="001727FF"/>
    <w:rsid w:val="00173321"/>
    <w:rsid w:val="001739DC"/>
    <w:rsid w:val="00174307"/>
    <w:rsid w:val="00174D66"/>
    <w:rsid w:val="00177404"/>
    <w:rsid w:val="00177CB6"/>
    <w:rsid w:val="00180802"/>
    <w:rsid w:val="0018125D"/>
    <w:rsid w:val="00181B32"/>
    <w:rsid w:val="00182006"/>
    <w:rsid w:val="00182B22"/>
    <w:rsid w:val="001833C0"/>
    <w:rsid w:val="0018377E"/>
    <w:rsid w:val="001858DD"/>
    <w:rsid w:val="00186D5F"/>
    <w:rsid w:val="001900EF"/>
    <w:rsid w:val="0019207F"/>
    <w:rsid w:val="00192814"/>
    <w:rsid w:val="00193AEB"/>
    <w:rsid w:val="00193B57"/>
    <w:rsid w:val="00194377"/>
    <w:rsid w:val="00194F7C"/>
    <w:rsid w:val="00195343"/>
    <w:rsid w:val="00195385"/>
    <w:rsid w:val="00196555"/>
    <w:rsid w:val="00196679"/>
    <w:rsid w:val="00196C78"/>
    <w:rsid w:val="0019713F"/>
    <w:rsid w:val="001A03CB"/>
    <w:rsid w:val="001A10F5"/>
    <w:rsid w:val="001A1575"/>
    <w:rsid w:val="001A1831"/>
    <w:rsid w:val="001A2B94"/>
    <w:rsid w:val="001B1D3C"/>
    <w:rsid w:val="001B5765"/>
    <w:rsid w:val="001B594F"/>
    <w:rsid w:val="001B5C78"/>
    <w:rsid w:val="001B5CB4"/>
    <w:rsid w:val="001B62DC"/>
    <w:rsid w:val="001B6FDF"/>
    <w:rsid w:val="001C0F31"/>
    <w:rsid w:val="001C104B"/>
    <w:rsid w:val="001C20DB"/>
    <w:rsid w:val="001C2580"/>
    <w:rsid w:val="001C4A16"/>
    <w:rsid w:val="001C58EB"/>
    <w:rsid w:val="001C6468"/>
    <w:rsid w:val="001C666F"/>
    <w:rsid w:val="001D1617"/>
    <w:rsid w:val="001D1E04"/>
    <w:rsid w:val="001D2AD7"/>
    <w:rsid w:val="001D3656"/>
    <w:rsid w:val="001D3C0C"/>
    <w:rsid w:val="001D40FF"/>
    <w:rsid w:val="001D519F"/>
    <w:rsid w:val="001D5EC7"/>
    <w:rsid w:val="001D678C"/>
    <w:rsid w:val="001D7F4D"/>
    <w:rsid w:val="001E157E"/>
    <w:rsid w:val="001E3665"/>
    <w:rsid w:val="001E44F3"/>
    <w:rsid w:val="001E649C"/>
    <w:rsid w:val="001E72D8"/>
    <w:rsid w:val="001E7A74"/>
    <w:rsid w:val="001E7FEF"/>
    <w:rsid w:val="001F00D8"/>
    <w:rsid w:val="001F099C"/>
    <w:rsid w:val="001F36F1"/>
    <w:rsid w:val="001F37A7"/>
    <w:rsid w:val="001F5F56"/>
    <w:rsid w:val="001F675B"/>
    <w:rsid w:val="001F70A3"/>
    <w:rsid w:val="001F772A"/>
    <w:rsid w:val="001F7FA3"/>
    <w:rsid w:val="00200401"/>
    <w:rsid w:val="00202C27"/>
    <w:rsid w:val="002035D8"/>
    <w:rsid w:val="00203C4C"/>
    <w:rsid w:val="00204678"/>
    <w:rsid w:val="00207D29"/>
    <w:rsid w:val="00210478"/>
    <w:rsid w:val="002115BF"/>
    <w:rsid w:val="00212088"/>
    <w:rsid w:val="002137BC"/>
    <w:rsid w:val="00213965"/>
    <w:rsid w:val="00213AB9"/>
    <w:rsid w:val="00213D56"/>
    <w:rsid w:val="002142F7"/>
    <w:rsid w:val="002148F4"/>
    <w:rsid w:val="00215734"/>
    <w:rsid w:val="002158C1"/>
    <w:rsid w:val="0021748A"/>
    <w:rsid w:val="00217F58"/>
    <w:rsid w:val="00220684"/>
    <w:rsid w:val="002206DD"/>
    <w:rsid w:val="00220779"/>
    <w:rsid w:val="00223160"/>
    <w:rsid w:val="00224480"/>
    <w:rsid w:val="002264A3"/>
    <w:rsid w:val="00226A02"/>
    <w:rsid w:val="0023003E"/>
    <w:rsid w:val="00230C52"/>
    <w:rsid w:val="00231F76"/>
    <w:rsid w:val="0023250F"/>
    <w:rsid w:val="00232A69"/>
    <w:rsid w:val="00233E95"/>
    <w:rsid w:val="00234CD8"/>
    <w:rsid w:val="002354E3"/>
    <w:rsid w:val="002366B2"/>
    <w:rsid w:val="00236B32"/>
    <w:rsid w:val="00237719"/>
    <w:rsid w:val="00237B59"/>
    <w:rsid w:val="002405F0"/>
    <w:rsid w:val="0024125F"/>
    <w:rsid w:val="00241398"/>
    <w:rsid w:val="0024251B"/>
    <w:rsid w:val="00242549"/>
    <w:rsid w:val="0024342D"/>
    <w:rsid w:val="00243569"/>
    <w:rsid w:val="0024465E"/>
    <w:rsid w:val="00244DD8"/>
    <w:rsid w:val="002471E1"/>
    <w:rsid w:val="002534D9"/>
    <w:rsid w:val="00253F3D"/>
    <w:rsid w:val="00255BED"/>
    <w:rsid w:val="00256F5C"/>
    <w:rsid w:val="00260086"/>
    <w:rsid w:val="002602CA"/>
    <w:rsid w:val="00261B2D"/>
    <w:rsid w:val="00261DF3"/>
    <w:rsid w:val="00262208"/>
    <w:rsid w:val="002628AD"/>
    <w:rsid w:val="00264606"/>
    <w:rsid w:val="00264761"/>
    <w:rsid w:val="00266B11"/>
    <w:rsid w:val="0026735B"/>
    <w:rsid w:val="002701BE"/>
    <w:rsid w:val="00270E18"/>
    <w:rsid w:val="00271246"/>
    <w:rsid w:val="0027284E"/>
    <w:rsid w:val="002730B5"/>
    <w:rsid w:val="00273A25"/>
    <w:rsid w:val="002742F9"/>
    <w:rsid w:val="00275811"/>
    <w:rsid w:val="00275866"/>
    <w:rsid w:val="002778AB"/>
    <w:rsid w:val="002800F4"/>
    <w:rsid w:val="00281BB0"/>
    <w:rsid w:val="0028275C"/>
    <w:rsid w:val="00282946"/>
    <w:rsid w:val="00283BB9"/>
    <w:rsid w:val="00284D1F"/>
    <w:rsid w:val="00284FDC"/>
    <w:rsid w:val="002853D0"/>
    <w:rsid w:val="00285B71"/>
    <w:rsid w:val="00285BDF"/>
    <w:rsid w:val="0029073C"/>
    <w:rsid w:val="00292CAB"/>
    <w:rsid w:val="002936FC"/>
    <w:rsid w:val="00293B1B"/>
    <w:rsid w:val="00293EA6"/>
    <w:rsid w:val="00294415"/>
    <w:rsid w:val="00294B9E"/>
    <w:rsid w:val="0029506E"/>
    <w:rsid w:val="002A0199"/>
    <w:rsid w:val="002A2C05"/>
    <w:rsid w:val="002A71BD"/>
    <w:rsid w:val="002A73FF"/>
    <w:rsid w:val="002A778E"/>
    <w:rsid w:val="002A7821"/>
    <w:rsid w:val="002B0FF2"/>
    <w:rsid w:val="002B1AAD"/>
    <w:rsid w:val="002B2923"/>
    <w:rsid w:val="002B29BF"/>
    <w:rsid w:val="002B29DE"/>
    <w:rsid w:val="002B310F"/>
    <w:rsid w:val="002B3A56"/>
    <w:rsid w:val="002B418D"/>
    <w:rsid w:val="002B4443"/>
    <w:rsid w:val="002B4C48"/>
    <w:rsid w:val="002B5071"/>
    <w:rsid w:val="002B51E2"/>
    <w:rsid w:val="002B53AC"/>
    <w:rsid w:val="002B699E"/>
    <w:rsid w:val="002C13E3"/>
    <w:rsid w:val="002C1993"/>
    <w:rsid w:val="002C1AD4"/>
    <w:rsid w:val="002C2626"/>
    <w:rsid w:val="002C27C6"/>
    <w:rsid w:val="002C2C09"/>
    <w:rsid w:val="002C4A78"/>
    <w:rsid w:val="002C55AB"/>
    <w:rsid w:val="002C7914"/>
    <w:rsid w:val="002D0AB9"/>
    <w:rsid w:val="002D1400"/>
    <w:rsid w:val="002D28AF"/>
    <w:rsid w:val="002D3A11"/>
    <w:rsid w:val="002D5482"/>
    <w:rsid w:val="002D5D95"/>
    <w:rsid w:val="002D6F85"/>
    <w:rsid w:val="002D734F"/>
    <w:rsid w:val="002D792A"/>
    <w:rsid w:val="002E0389"/>
    <w:rsid w:val="002E278E"/>
    <w:rsid w:val="002E29AE"/>
    <w:rsid w:val="002E2BE8"/>
    <w:rsid w:val="002E2CE6"/>
    <w:rsid w:val="002E307E"/>
    <w:rsid w:val="002E3F10"/>
    <w:rsid w:val="002E44F0"/>
    <w:rsid w:val="002E4CA1"/>
    <w:rsid w:val="002E5834"/>
    <w:rsid w:val="002E6DF0"/>
    <w:rsid w:val="002F047B"/>
    <w:rsid w:val="002F137B"/>
    <w:rsid w:val="002F1948"/>
    <w:rsid w:val="002F2BF8"/>
    <w:rsid w:val="002F6874"/>
    <w:rsid w:val="002F6D0D"/>
    <w:rsid w:val="003000EE"/>
    <w:rsid w:val="00300839"/>
    <w:rsid w:val="00300FB6"/>
    <w:rsid w:val="00301AEA"/>
    <w:rsid w:val="0030252F"/>
    <w:rsid w:val="00302763"/>
    <w:rsid w:val="00303A4E"/>
    <w:rsid w:val="00303EFC"/>
    <w:rsid w:val="003041B6"/>
    <w:rsid w:val="00304D1C"/>
    <w:rsid w:val="00305696"/>
    <w:rsid w:val="00306786"/>
    <w:rsid w:val="003103F7"/>
    <w:rsid w:val="00310CA4"/>
    <w:rsid w:val="00310E0F"/>
    <w:rsid w:val="00311905"/>
    <w:rsid w:val="003124D4"/>
    <w:rsid w:val="00312B1A"/>
    <w:rsid w:val="003136AE"/>
    <w:rsid w:val="003136E3"/>
    <w:rsid w:val="003136EB"/>
    <w:rsid w:val="0031399B"/>
    <w:rsid w:val="00314A7A"/>
    <w:rsid w:val="00314D13"/>
    <w:rsid w:val="00315591"/>
    <w:rsid w:val="0031710D"/>
    <w:rsid w:val="00317D34"/>
    <w:rsid w:val="00320262"/>
    <w:rsid w:val="0032041A"/>
    <w:rsid w:val="0032149E"/>
    <w:rsid w:val="00323A1F"/>
    <w:rsid w:val="00323B9A"/>
    <w:rsid w:val="00324422"/>
    <w:rsid w:val="00324570"/>
    <w:rsid w:val="00325940"/>
    <w:rsid w:val="0032684A"/>
    <w:rsid w:val="00327030"/>
    <w:rsid w:val="00327594"/>
    <w:rsid w:val="00327F5B"/>
    <w:rsid w:val="00330E33"/>
    <w:rsid w:val="003360DE"/>
    <w:rsid w:val="003369CA"/>
    <w:rsid w:val="00336CFE"/>
    <w:rsid w:val="0034012E"/>
    <w:rsid w:val="00340A0B"/>
    <w:rsid w:val="00340F25"/>
    <w:rsid w:val="00343EDA"/>
    <w:rsid w:val="003443E9"/>
    <w:rsid w:val="00344904"/>
    <w:rsid w:val="00345271"/>
    <w:rsid w:val="0034546C"/>
    <w:rsid w:val="00345EF0"/>
    <w:rsid w:val="003468C2"/>
    <w:rsid w:val="003469B5"/>
    <w:rsid w:val="00346CCD"/>
    <w:rsid w:val="00346D7C"/>
    <w:rsid w:val="003479AC"/>
    <w:rsid w:val="00347ADC"/>
    <w:rsid w:val="0035299B"/>
    <w:rsid w:val="003530C7"/>
    <w:rsid w:val="00353A7A"/>
    <w:rsid w:val="00353AB0"/>
    <w:rsid w:val="00355294"/>
    <w:rsid w:val="00355ECF"/>
    <w:rsid w:val="00356CD5"/>
    <w:rsid w:val="00360448"/>
    <w:rsid w:val="003636AA"/>
    <w:rsid w:val="003644FB"/>
    <w:rsid w:val="00364B82"/>
    <w:rsid w:val="0037366F"/>
    <w:rsid w:val="003743F6"/>
    <w:rsid w:val="00374760"/>
    <w:rsid w:val="003752DB"/>
    <w:rsid w:val="00375A27"/>
    <w:rsid w:val="003761B2"/>
    <w:rsid w:val="003776F8"/>
    <w:rsid w:val="00377BEC"/>
    <w:rsid w:val="00377E16"/>
    <w:rsid w:val="003816C6"/>
    <w:rsid w:val="00383823"/>
    <w:rsid w:val="00383CA9"/>
    <w:rsid w:val="00386B2C"/>
    <w:rsid w:val="00387376"/>
    <w:rsid w:val="0038742F"/>
    <w:rsid w:val="00387C14"/>
    <w:rsid w:val="0039420E"/>
    <w:rsid w:val="00394279"/>
    <w:rsid w:val="00394291"/>
    <w:rsid w:val="003947D9"/>
    <w:rsid w:val="00396E4C"/>
    <w:rsid w:val="00397097"/>
    <w:rsid w:val="0039730F"/>
    <w:rsid w:val="003974E8"/>
    <w:rsid w:val="003976CD"/>
    <w:rsid w:val="00397F1A"/>
    <w:rsid w:val="003A043E"/>
    <w:rsid w:val="003A15E1"/>
    <w:rsid w:val="003A1F00"/>
    <w:rsid w:val="003A3509"/>
    <w:rsid w:val="003A36D7"/>
    <w:rsid w:val="003A7A26"/>
    <w:rsid w:val="003B0CAE"/>
    <w:rsid w:val="003B0E5B"/>
    <w:rsid w:val="003B1B57"/>
    <w:rsid w:val="003B23EF"/>
    <w:rsid w:val="003B2D49"/>
    <w:rsid w:val="003B2F13"/>
    <w:rsid w:val="003B3178"/>
    <w:rsid w:val="003B5E8B"/>
    <w:rsid w:val="003B72BD"/>
    <w:rsid w:val="003B77C9"/>
    <w:rsid w:val="003B78E8"/>
    <w:rsid w:val="003B7D88"/>
    <w:rsid w:val="003C0BE7"/>
    <w:rsid w:val="003C0DC6"/>
    <w:rsid w:val="003C138E"/>
    <w:rsid w:val="003C189C"/>
    <w:rsid w:val="003C19CD"/>
    <w:rsid w:val="003C2548"/>
    <w:rsid w:val="003C3DE0"/>
    <w:rsid w:val="003C519F"/>
    <w:rsid w:val="003C58ED"/>
    <w:rsid w:val="003C6A43"/>
    <w:rsid w:val="003C7D5B"/>
    <w:rsid w:val="003D0EFA"/>
    <w:rsid w:val="003D122E"/>
    <w:rsid w:val="003D13D6"/>
    <w:rsid w:val="003D178A"/>
    <w:rsid w:val="003D1945"/>
    <w:rsid w:val="003D35BE"/>
    <w:rsid w:val="003D3BBC"/>
    <w:rsid w:val="003D41B4"/>
    <w:rsid w:val="003D438E"/>
    <w:rsid w:val="003D47ED"/>
    <w:rsid w:val="003D58A7"/>
    <w:rsid w:val="003D5F2C"/>
    <w:rsid w:val="003D624E"/>
    <w:rsid w:val="003D6EBC"/>
    <w:rsid w:val="003D73AF"/>
    <w:rsid w:val="003D7B57"/>
    <w:rsid w:val="003E1EF5"/>
    <w:rsid w:val="003E2391"/>
    <w:rsid w:val="003E2448"/>
    <w:rsid w:val="003E4813"/>
    <w:rsid w:val="003E55FA"/>
    <w:rsid w:val="003E567A"/>
    <w:rsid w:val="003E5C91"/>
    <w:rsid w:val="003E6A29"/>
    <w:rsid w:val="003E720F"/>
    <w:rsid w:val="003E7245"/>
    <w:rsid w:val="003E73C6"/>
    <w:rsid w:val="003E76F8"/>
    <w:rsid w:val="003E7FA3"/>
    <w:rsid w:val="003F0C0A"/>
    <w:rsid w:val="003F0CE8"/>
    <w:rsid w:val="003F2D3F"/>
    <w:rsid w:val="003F35BC"/>
    <w:rsid w:val="003F3B4B"/>
    <w:rsid w:val="003F4F15"/>
    <w:rsid w:val="003F5D58"/>
    <w:rsid w:val="003F61EB"/>
    <w:rsid w:val="003F669F"/>
    <w:rsid w:val="004007D7"/>
    <w:rsid w:val="00401CA8"/>
    <w:rsid w:val="004030E9"/>
    <w:rsid w:val="0040344A"/>
    <w:rsid w:val="00403586"/>
    <w:rsid w:val="0040459B"/>
    <w:rsid w:val="004057DC"/>
    <w:rsid w:val="004062BB"/>
    <w:rsid w:val="00406557"/>
    <w:rsid w:val="00406998"/>
    <w:rsid w:val="0040699E"/>
    <w:rsid w:val="00407A9B"/>
    <w:rsid w:val="00407BBB"/>
    <w:rsid w:val="00410467"/>
    <w:rsid w:val="00410AD7"/>
    <w:rsid w:val="004119C3"/>
    <w:rsid w:val="00411E19"/>
    <w:rsid w:val="0041375E"/>
    <w:rsid w:val="00413EB4"/>
    <w:rsid w:val="00415764"/>
    <w:rsid w:val="00415996"/>
    <w:rsid w:val="00417A30"/>
    <w:rsid w:val="00417A39"/>
    <w:rsid w:val="0042021D"/>
    <w:rsid w:val="004209E6"/>
    <w:rsid w:val="00420F12"/>
    <w:rsid w:val="00421B54"/>
    <w:rsid w:val="004220EC"/>
    <w:rsid w:val="00422340"/>
    <w:rsid w:val="00422955"/>
    <w:rsid w:val="0042476C"/>
    <w:rsid w:val="004252D3"/>
    <w:rsid w:val="004259C8"/>
    <w:rsid w:val="00425D72"/>
    <w:rsid w:val="00427C15"/>
    <w:rsid w:val="0043031A"/>
    <w:rsid w:val="00431D00"/>
    <w:rsid w:val="00431FF5"/>
    <w:rsid w:val="00432335"/>
    <w:rsid w:val="00433421"/>
    <w:rsid w:val="0043421B"/>
    <w:rsid w:val="00434B73"/>
    <w:rsid w:val="00434B82"/>
    <w:rsid w:val="0043638A"/>
    <w:rsid w:val="00437312"/>
    <w:rsid w:val="0044126E"/>
    <w:rsid w:val="00441619"/>
    <w:rsid w:val="00442163"/>
    <w:rsid w:val="00442571"/>
    <w:rsid w:val="00443240"/>
    <w:rsid w:val="00443F0C"/>
    <w:rsid w:val="004447B3"/>
    <w:rsid w:val="00446C15"/>
    <w:rsid w:val="00446E5E"/>
    <w:rsid w:val="0045094E"/>
    <w:rsid w:val="00450BB1"/>
    <w:rsid w:val="00451125"/>
    <w:rsid w:val="00451955"/>
    <w:rsid w:val="0045279B"/>
    <w:rsid w:val="004530AD"/>
    <w:rsid w:val="00453493"/>
    <w:rsid w:val="00453F67"/>
    <w:rsid w:val="00454D82"/>
    <w:rsid w:val="00455022"/>
    <w:rsid w:val="00455606"/>
    <w:rsid w:val="004576B7"/>
    <w:rsid w:val="00461DF3"/>
    <w:rsid w:val="00461E3A"/>
    <w:rsid w:val="00462FC3"/>
    <w:rsid w:val="00463810"/>
    <w:rsid w:val="00463A62"/>
    <w:rsid w:val="00464D68"/>
    <w:rsid w:val="00465038"/>
    <w:rsid w:val="00466157"/>
    <w:rsid w:val="00466992"/>
    <w:rsid w:val="00466F18"/>
    <w:rsid w:val="00467266"/>
    <w:rsid w:val="00467513"/>
    <w:rsid w:val="004677A7"/>
    <w:rsid w:val="00467993"/>
    <w:rsid w:val="0047069B"/>
    <w:rsid w:val="00470CE1"/>
    <w:rsid w:val="004712BF"/>
    <w:rsid w:val="0047223C"/>
    <w:rsid w:val="004723F4"/>
    <w:rsid w:val="00473C57"/>
    <w:rsid w:val="00475343"/>
    <w:rsid w:val="00475C2C"/>
    <w:rsid w:val="00476074"/>
    <w:rsid w:val="004767CD"/>
    <w:rsid w:val="00480C25"/>
    <w:rsid w:val="00480D8C"/>
    <w:rsid w:val="00481730"/>
    <w:rsid w:val="00484F88"/>
    <w:rsid w:val="0048507D"/>
    <w:rsid w:val="004856BB"/>
    <w:rsid w:val="004861DC"/>
    <w:rsid w:val="00490C87"/>
    <w:rsid w:val="00490D14"/>
    <w:rsid w:val="00490F15"/>
    <w:rsid w:val="00490FF5"/>
    <w:rsid w:val="004910F2"/>
    <w:rsid w:val="00491397"/>
    <w:rsid w:val="0049291B"/>
    <w:rsid w:val="00494165"/>
    <w:rsid w:val="00497173"/>
    <w:rsid w:val="0049728E"/>
    <w:rsid w:val="00497C8C"/>
    <w:rsid w:val="004A0FEB"/>
    <w:rsid w:val="004A3F72"/>
    <w:rsid w:val="004A46BD"/>
    <w:rsid w:val="004A4EC9"/>
    <w:rsid w:val="004A753B"/>
    <w:rsid w:val="004B013A"/>
    <w:rsid w:val="004B07B0"/>
    <w:rsid w:val="004B09B9"/>
    <w:rsid w:val="004B1AAA"/>
    <w:rsid w:val="004B216A"/>
    <w:rsid w:val="004B2EF0"/>
    <w:rsid w:val="004B4268"/>
    <w:rsid w:val="004B4D64"/>
    <w:rsid w:val="004B53FA"/>
    <w:rsid w:val="004B6C60"/>
    <w:rsid w:val="004B6CDE"/>
    <w:rsid w:val="004C0407"/>
    <w:rsid w:val="004C067D"/>
    <w:rsid w:val="004C0746"/>
    <w:rsid w:val="004C15BB"/>
    <w:rsid w:val="004C2C0D"/>
    <w:rsid w:val="004C2D22"/>
    <w:rsid w:val="004C3B8B"/>
    <w:rsid w:val="004C406C"/>
    <w:rsid w:val="004C4139"/>
    <w:rsid w:val="004C495E"/>
    <w:rsid w:val="004C4B09"/>
    <w:rsid w:val="004C4E82"/>
    <w:rsid w:val="004C506D"/>
    <w:rsid w:val="004C5F87"/>
    <w:rsid w:val="004C7203"/>
    <w:rsid w:val="004C7563"/>
    <w:rsid w:val="004C78E8"/>
    <w:rsid w:val="004C7C6C"/>
    <w:rsid w:val="004D0309"/>
    <w:rsid w:val="004D0829"/>
    <w:rsid w:val="004D0D2B"/>
    <w:rsid w:val="004D2614"/>
    <w:rsid w:val="004D318E"/>
    <w:rsid w:val="004D3803"/>
    <w:rsid w:val="004D6217"/>
    <w:rsid w:val="004D695C"/>
    <w:rsid w:val="004E005D"/>
    <w:rsid w:val="004E08A1"/>
    <w:rsid w:val="004E0B1C"/>
    <w:rsid w:val="004E21ED"/>
    <w:rsid w:val="004E2352"/>
    <w:rsid w:val="004E491C"/>
    <w:rsid w:val="004E4F49"/>
    <w:rsid w:val="004E6664"/>
    <w:rsid w:val="004E6874"/>
    <w:rsid w:val="004E6C8B"/>
    <w:rsid w:val="004E7897"/>
    <w:rsid w:val="004F02F0"/>
    <w:rsid w:val="004F0998"/>
    <w:rsid w:val="004F1BBC"/>
    <w:rsid w:val="004F26F9"/>
    <w:rsid w:val="004F2E30"/>
    <w:rsid w:val="004F3C43"/>
    <w:rsid w:val="004F42C7"/>
    <w:rsid w:val="004F5549"/>
    <w:rsid w:val="004F5AE2"/>
    <w:rsid w:val="004F5B8B"/>
    <w:rsid w:val="004F7F96"/>
    <w:rsid w:val="00500138"/>
    <w:rsid w:val="0050024C"/>
    <w:rsid w:val="00500B1E"/>
    <w:rsid w:val="00501C3B"/>
    <w:rsid w:val="0050374E"/>
    <w:rsid w:val="0050378A"/>
    <w:rsid w:val="00503E5E"/>
    <w:rsid w:val="00504254"/>
    <w:rsid w:val="00504902"/>
    <w:rsid w:val="00505C85"/>
    <w:rsid w:val="00506716"/>
    <w:rsid w:val="00506991"/>
    <w:rsid w:val="00506AF0"/>
    <w:rsid w:val="00507404"/>
    <w:rsid w:val="00507D30"/>
    <w:rsid w:val="005104C0"/>
    <w:rsid w:val="005132A5"/>
    <w:rsid w:val="00514B72"/>
    <w:rsid w:val="00514B75"/>
    <w:rsid w:val="005153A3"/>
    <w:rsid w:val="00516C7F"/>
    <w:rsid w:val="00516FEF"/>
    <w:rsid w:val="005212F0"/>
    <w:rsid w:val="0052154C"/>
    <w:rsid w:val="00521E21"/>
    <w:rsid w:val="005234E1"/>
    <w:rsid w:val="00524BD6"/>
    <w:rsid w:val="0052596D"/>
    <w:rsid w:val="00525AC9"/>
    <w:rsid w:val="005266E0"/>
    <w:rsid w:val="0053073A"/>
    <w:rsid w:val="00530984"/>
    <w:rsid w:val="005319C5"/>
    <w:rsid w:val="00534250"/>
    <w:rsid w:val="00535E37"/>
    <w:rsid w:val="005368E7"/>
    <w:rsid w:val="005408B4"/>
    <w:rsid w:val="0054305F"/>
    <w:rsid w:val="005437B6"/>
    <w:rsid w:val="005457BD"/>
    <w:rsid w:val="005478A4"/>
    <w:rsid w:val="0055065F"/>
    <w:rsid w:val="00552E31"/>
    <w:rsid w:val="00555D0F"/>
    <w:rsid w:val="005574C4"/>
    <w:rsid w:val="005601BB"/>
    <w:rsid w:val="00561292"/>
    <w:rsid w:val="00561898"/>
    <w:rsid w:val="005625F1"/>
    <w:rsid w:val="00562A4D"/>
    <w:rsid w:val="00563047"/>
    <w:rsid w:val="0056385A"/>
    <w:rsid w:val="00563C0B"/>
    <w:rsid w:val="00564A3D"/>
    <w:rsid w:val="00565F7D"/>
    <w:rsid w:val="005662E9"/>
    <w:rsid w:val="00566C1A"/>
    <w:rsid w:val="0056718D"/>
    <w:rsid w:val="00567644"/>
    <w:rsid w:val="0057079D"/>
    <w:rsid w:val="00573C23"/>
    <w:rsid w:val="00575424"/>
    <w:rsid w:val="00575762"/>
    <w:rsid w:val="00576B13"/>
    <w:rsid w:val="0058041F"/>
    <w:rsid w:val="00580429"/>
    <w:rsid w:val="00580AC0"/>
    <w:rsid w:val="00581D58"/>
    <w:rsid w:val="00581F10"/>
    <w:rsid w:val="005825F3"/>
    <w:rsid w:val="00584301"/>
    <w:rsid w:val="00584379"/>
    <w:rsid w:val="00585A2F"/>
    <w:rsid w:val="00585D2E"/>
    <w:rsid w:val="00587D81"/>
    <w:rsid w:val="00591A05"/>
    <w:rsid w:val="00592630"/>
    <w:rsid w:val="00594E2A"/>
    <w:rsid w:val="00594FD2"/>
    <w:rsid w:val="005955A6"/>
    <w:rsid w:val="0059614E"/>
    <w:rsid w:val="00597167"/>
    <w:rsid w:val="005A0B29"/>
    <w:rsid w:val="005A1148"/>
    <w:rsid w:val="005A2145"/>
    <w:rsid w:val="005A2721"/>
    <w:rsid w:val="005A2883"/>
    <w:rsid w:val="005A2980"/>
    <w:rsid w:val="005A3AA8"/>
    <w:rsid w:val="005A3F21"/>
    <w:rsid w:val="005A452C"/>
    <w:rsid w:val="005A4F52"/>
    <w:rsid w:val="005A64A7"/>
    <w:rsid w:val="005A7974"/>
    <w:rsid w:val="005B04D6"/>
    <w:rsid w:val="005B09F5"/>
    <w:rsid w:val="005B1189"/>
    <w:rsid w:val="005B1F0A"/>
    <w:rsid w:val="005B4816"/>
    <w:rsid w:val="005B49E9"/>
    <w:rsid w:val="005B5D6D"/>
    <w:rsid w:val="005B7B70"/>
    <w:rsid w:val="005C12CE"/>
    <w:rsid w:val="005C1C9E"/>
    <w:rsid w:val="005C1FFD"/>
    <w:rsid w:val="005C283F"/>
    <w:rsid w:val="005C2E0E"/>
    <w:rsid w:val="005C3FF0"/>
    <w:rsid w:val="005C41C8"/>
    <w:rsid w:val="005C43DC"/>
    <w:rsid w:val="005C46BD"/>
    <w:rsid w:val="005C5841"/>
    <w:rsid w:val="005C6E0A"/>
    <w:rsid w:val="005D124F"/>
    <w:rsid w:val="005D20E6"/>
    <w:rsid w:val="005D4086"/>
    <w:rsid w:val="005D473C"/>
    <w:rsid w:val="005D53C2"/>
    <w:rsid w:val="005D5F03"/>
    <w:rsid w:val="005D7906"/>
    <w:rsid w:val="005E1B11"/>
    <w:rsid w:val="005E3EC2"/>
    <w:rsid w:val="005E40AE"/>
    <w:rsid w:val="005E4344"/>
    <w:rsid w:val="005E489F"/>
    <w:rsid w:val="005E5200"/>
    <w:rsid w:val="005E6331"/>
    <w:rsid w:val="005E6673"/>
    <w:rsid w:val="005F0711"/>
    <w:rsid w:val="005F2545"/>
    <w:rsid w:val="005F34B0"/>
    <w:rsid w:val="005F350F"/>
    <w:rsid w:val="005F47CF"/>
    <w:rsid w:val="005F4F18"/>
    <w:rsid w:val="005F4FDE"/>
    <w:rsid w:val="005F5F9B"/>
    <w:rsid w:val="005F6683"/>
    <w:rsid w:val="005F6A1B"/>
    <w:rsid w:val="005F7229"/>
    <w:rsid w:val="005F76F2"/>
    <w:rsid w:val="005F7AB8"/>
    <w:rsid w:val="0060064A"/>
    <w:rsid w:val="00600EFA"/>
    <w:rsid w:val="00601D77"/>
    <w:rsid w:val="006051E9"/>
    <w:rsid w:val="006108EC"/>
    <w:rsid w:val="00610B7A"/>
    <w:rsid w:val="0061260E"/>
    <w:rsid w:val="00613691"/>
    <w:rsid w:val="006142EF"/>
    <w:rsid w:val="00615425"/>
    <w:rsid w:val="00615A3F"/>
    <w:rsid w:val="0061711D"/>
    <w:rsid w:val="0061767D"/>
    <w:rsid w:val="00620B7E"/>
    <w:rsid w:val="00621999"/>
    <w:rsid w:val="006220C5"/>
    <w:rsid w:val="00622A9A"/>
    <w:rsid w:val="00622D76"/>
    <w:rsid w:val="00622FE4"/>
    <w:rsid w:val="00623A76"/>
    <w:rsid w:val="00623BE9"/>
    <w:rsid w:val="00626DD1"/>
    <w:rsid w:val="006275D6"/>
    <w:rsid w:val="006305B9"/>
    <w:rsid w:val="00630A6F"/>
    <w:rsid w:val="00630C1C"/>
    <w:rsid w:val="00631870"/>
    <w:rsid w:val="00631DE4"/>
    <w:rsid w:val="00632BA9"/>
    <w:rsid w:val="0063313C"/>
    <w:rsid w:val="006338A7"/>
    <w:rsid w:val="0063410A"/>
    <w:rsid w:val="0063501F"/>
    <w:rsid w:val="00636571"/>
    <w:rsid w:val="0063672D"/>
    <w:rsid w:val="0063692E"/>
    <w:rsid w:val="0063781B"/>
    <w:rsid w:val="0064089F"/>
    <w:rsid w:val="00640EAF"/>
    <w:rsid w:val="00641DFA"/>
    <w:rsid w:val="00643954"/>
    <w:rsid w:val="006445AD"/>
    <w:rsid w:val="00644B0F"/>
    <w:rsid w:val="00644C3F"/>
    <w:rsid w:val="00645E2C"/>
    <w:rsid w:val="00646887"/>
    <w:rsid w:val="006509DD"/>
    <w:rsid w:val="00650BB7"/>
    <w:rsid w:val="00650FD8"/>
    <w:rsid w:val="006514DF"/>
    <w:rsid w:val="0065152E"/>
    <w:rsid w:val="0065177A"/>
    <w:rsid w:val="00652F2C"/>
    <w:rsid w:val="006537A7"/>
    <w:rsid w:val="006542E3"/>
    <w:rsid w:val="00655306"/>
    <w:rsid w:val="006556BC"/>
    <w:rsid w:val="006569B8"/>
    <w:rsid w:val="00656D4C"/>
    <w:rsid w:val="00657FE8"/>
    <w:rsid w:val="0066022F"/>
    <w:rsid w:val="00660ABA"/>
    <w:rsid w:val="00661CB7"/>
    <w:rsid w:val="0066267A"/>
    <w:rsid w:val="006634AD"/>
    <w:rsid w:val="00664538"/>
    <w:rsid w:val="0066457E"/>
    <w:rsid w:val="00665203"/>
    <w:rsid w:val="00666EB8"/>
    <w:rsid w:val="006674FA"/>
    <w:rsid w:val="0066775B"/>
    <w:rsid w:val="00667EB7"/>
    <w:rsid w:val="00670CEA"/>
    <w:rsid w:val="0067256C"/>
    <w:rsid w:val="00672FC0"/>
    <w:rsid w:val="0067351E"/>
    <w:rsid w:val="00674168"/>
    <w:rsid w:val="006741F2"/>
    <w:rsid w:val="006745DB"/>
    <w:rsid w:val="00675465"/>
    <w:rsid w:val="006756FE"/>
    <w:rsid w:val="00675F3A"/>
    <w:rsid w:val="00677DAE"/>
    <w:rsid w:val="00680764"/>
    <w:rsid w:val="00681199"/>
    <w:rsid w:val="00682A73"/>
    <w:rsid w:val="00683565"/>
    <w:rsid w:val="00683B95"/>
    <w:rsid w:val="006845FE"/>
    <w:rsid w:val="0068472D"/>
    <w:rsid w:val="00686408"/>
    <w:rsid w:val="006864BF"/>
    <w:rsid w:val="006865DA"/>
    <w:rsid w:val="00687716"/>
    <w:rsid w:val="0069022D"/>
    <w:rsid w:val="00691B29"/>
    <w:rsid w:val="0069358E"/>
    <w:rsid w:val="00693CA9"/>
    <w:rsid w:val="00694053"/>
    <w:rsid w:val="006947D7"/>
    <w:rsid w:val="00695564"/>
    <w:rsid w:val="00696641"/>
    <w:rsid w:val="006966E8"/>
    <w:rsid w:val="00696B7C"/>
    <w:rsid w:val="00697FC8"/>
    <w:rsid w:val="006A2834"/>
    <w:rsid w:val="006A2FF8"/>
    <w:rsid w:val="006A3EFC"/>
    <w:rsid w:val="006A438B"/>
    <w:rsid w:val="006A6C62"/>
    <w:rsid w:val="006A784A"/>
    <w:rsid w:val="006B2841"/>
    <w:rsid w:val="006B2CA2"/>
    <w:rsid w:val="006B2FDC"/>
    <w:rsid w:val="006B3559"/>
    <w:rsid w:val="006B3830"/>
    <w:rsid w:val="006B40EE"/>
    <w:rsid w:val="006B4BED"/>
    <w:rsid w:val="006B5032"/>
    <w:rsid w:val="006B5E90"/>
    <w:rsid w:val="006B75C5"/>
    <w:rsid w:val="006B7971"/>
    <w:rsid w:val="006C39C4"/>
    <w:rsid w:val="006C3D77"/>
    <w:rsid w:val="006C47C7"/>
    <w:rsid w:val="006C5B29"/>
    <w:rsid w:val="006C6E37"/>
    <w:rsid w:val="006D08DE"/>
    <w:rsid w:val="006D1806"/>
    <w:rsid w:val="006D1C26"/>
    <w:rsid w:val="006D1F2A"/>
    <w:rsid w:val="006D2495"/>
    <w:rsid w:val="006D2A54"/>
    <w:rsid w:val="006D413E"/>
    <w:rsid w:val="006D418F"/>
    <w:rsid w:val="006D4270"/>
    <w:rsid w:val="006D4E60"/>
    <w:rsid w:val="006D50BA"/>
    <w:rsid w:val="006D65B5"/>
    <w:rsid w:val="006D6C39"/>
    <w:rsid w:val="006D6EB5"/>
    <w:rsid w:val="006D7652"/>
    <w:rsid w:val="006D772F"/>
    <w:rsid w:val="006E020D"/>
    <w:rsid w:val="006E0E9D"/>
    <w:rsid w:val="006E1406"/>
    <w:rsid w:val="006E23BA"/>
    <w:rsid w:val="006E300D"/>
    <w:rsid w:val="006E3021"/>
    <w:rsid w:val="006E30C4"/>
    <w:rsid w:val="006E3505"/>
    <w:rsid w:val="006E5930"/>
    <w:rsid w:val="006E6DDE"/>
    <w:rsid w:val="006E7598"/>
    <w:rsid w:val="006F0277"/>
    <w:rsid w:val="006F38EC"/>
    <w:rsid w:val="006F3EAC"/>
    <w:rsid w:val="006F3ECE"/>
    <w:rsid w:val="006F613F"/>
    <w:rsid w:val="006F6231"/>
    <w:rsid w:val="006F67F8"/>
    <w:rsid w:val="006F7416"/>
    <w:rsid w:val="0070095F"/>
    <w:rsid w:val="00700E38"/>
    <w:rsid w:val="00700E3E"/>
    <w:rsid w:val="0070173F"/>
    <w:rsid w:val="0070179D"/>
    <w:rsid w:val="00701FFD"/>
    <w:rsid w:val="00702254"/>
    <w:rsid w:val="00702B1F"/>
    <w:rsid w:val="007039A4"/>
    <w:rsid w:val="00704090"/>
    <w:rsid w:val="007049EE"/>
    <w:rsid w:val="00705677"/>
    <w:rsid w:val="00707090"/>
    <w:rsid w:val="0071028D"/>
    <w:rsid w:val="0071066C"/>
    <w:rsid w:val="00710B5E"/>
    <w:rsid w:val="007113F2"/>
    <w:rsid w:val="00711A8B"/>
    <w:rsid w:val="00712187"/>
    <w:rsid w:val="007124BE"/>
    <w:rsid w:val="00713698"/>
    <w:rsid w:val="007141D1"/>
    <w:rsid w:val="007147B5"/>
    <w:rsid w:val="0071601F"/>
    <w:rsid w:val="007200DD"/>
    <w:rsid w:val="00721166"/>
    <w:rsid w:val="00722FE9"/>
    <w:rsid w:val="00726A35"/>
    <w:rsid w:val="0073074D"/>
    <w:rsid w:val="00731239"/>
    <w:rsid w:val="00731282"/>
    <w:rsid w:val="00731B39"/>
    <w:rsid w:val="00733CF8"/>
    <w:rsid w:val="00733F80"/>
    <w:rsid w:val="0073588C"/>
    <w:rsid w:val="0073781D"/>
    <w:rsid w:val="00740745"/>
    <w:rsid w:val="00740BA1"/>
    <w:rsid w:val="007414BC"/>
    <w:rsid w:val="007439D2"/>
    <w:rsid w:val="00743E49"/>
    <w:rsid w:val="00743FE7"/>
    <w:rsid w:val="00745653"/>
    <w:rsid w:val="00745D8C"/>
    <w:rsid w:val="00745F60"/>
    <w:rsid w:val="00745F6F"/>
    <w:rsid w:val="007460E5"/>
    <w:rsid w:val="00746BF1"/>
    <w:rsid w:val="00747195"/>
    <w:rsid w:val="00750800"/>
    <w:rsid w:val="007526DC"/>
    <w:rsid w:val="00752BBE"/>
    <w:rsid w:val="00752E81"/>
    <w:rsid w:val="007537FD"/>
    <w:rsid w:val="00753B90"/>
    <w:rsid w:val="007542D0"/>
    <w:rsid w:val="00754470"/>
    <w:rsid w:val="00755B9C"/>
    <w:rsid w:val="007562F2"/>
    <w:rsid w:val="00756699"/>
    <w:rsid w:val="00756DB5"/>
    <w:rsid w:val="00757044"/>
    <w:rsid w:val="00757483"/>
    <w:rsid w:val="00760289"/>
    <w:rsid w:val="00760812"/>
    <w:rsid w:val="00761787"/>
    <w:rsid w:val="00762588"/>
    <w:rsid w:val="00763512"/>
    <w:rsid w:val="00763A5A"/>
    <w:rsid w:val="00764484"/>
    <w:rsid w:val="00765A12"/>
    <w:rsid w:val="0077181C"/>
    <w:rsid w:val="00771BF2"/>
    <w:rsid w:val="00771E8D"/>
    <w:rsid w:val="0077237A"/>
    <w:rsid w:val="00772FBA"/>
    <w:rsid w:val="00773E2A"/>
    <w:rsid w:val="00773E3C"/>
    <w:rsid w:val="0077428C"/>
    <w:rsid w:val="00774879"/>
    <w:rsid w:val="0077565C"/>
    <w:rsid w:val="007766C4"/>
    <w:rsid w:val="0078007E"/>
    <w:rsid w:val="007810AD"/>
    <w:rsid w:val="007810B7"/>
    <w:rsid w:val="0078187D"/>
    <w:rsid w:val="00782434"/>
    <w:rsid w:val="00782804"/>
    <w:rsid w:val="00782EB0"/>
    <w:rsid w:val="00784149"/>
    <w:rsid w:val="007848FC"/>
    <w:rsid w:val="00787818"/>
    <w:rsid w:val="007904B7"/>
    <w:rsid w:val="007918F8"/>
    <w:rsid w:val="00791B37"/>
    <w:rsid w:val="00792B78"/>
    <w:rsid w:val="00792D8C"/>
    <w:rsid w:val="00793F65"/>
    <w:rsid w:val="007954A1"/>
    <w:rsid w:val="007957A7"/>
    <w:rsid w:val="0079615B"/>
    <w:rsid w:val="00797FDE"/>
    <w:rsid w:val="007A164C"/>
    <w:rsid w:val="007A193C"/>
    <w:rsid w:val="007A1C2B"/>
    <w:rsid w:val="007A1C48"/>
    <w:rsid w:val="007A2421"/>
    <w:rsid w:val="007A325F"/>
    <w:rsid w:val="007A3318"/>
    <w:rsid w:val="007A396F"/>
    <w:rsid w:val="007A4540"/>
    <w:rsid w:val="007A51E9"/>
    <w:rsid w:val="007A5600"/>
    <w:rsid w:val="007A5C7A"/>
    <w:rsid w:val="007A5E22"/>
    <w:rsid w:val="007A5E5D"/>
    <w:rsid w:val="007A6DB6"/>
    <w:rsid w:val="007A7ED2"/>
    <w:rsid w:val="007B0227"/>
    <w:rsid w:val="007B0704"/>
    <w:rsid w:val="007B093D"/>
    <w:rsid w:val="007B0D8C"/>
    <w:rsid w:val="007B140C"/>
    <w:rsid w:val="007B1CF5"/>
    <w:rsid w:val="007B3433"/>
    <w:rsid w:val="007B39C3"/>
    <w:rsid w:val="007B3D05"/>
    <w:rsid w:val="007B6A4F"/>
    <w:rsid w:val="007B6FE0"/>
    <w:rsid w:val="007B73F5"/>
    <w:rsid w:val="007B7681"/>
    <w:rsid w:val="007C3040"/>
    <w:rsid w:val="007C3BCE"/>
    <w:rsid w:val="007C3C69"/>
    <w:rsid w:val="007C3F1F"/>
    <w:rsid w:val="007C4DDD"/>
    <w:rsid w:val="007C6079"/>
    <w:rsid w:val="007C6BFE"/>
    <w:rsid w:val="007C6F85"/>
    <w:rsid w:val="007C7D9E"/>
    <w:rsid w:val="007C7FD4"/>
    <w:rsid w:val="007D1234"/>
    <w:rsid w:val="007D287D"/>
    <w:rsid w:val="007D362D"/>
    <w:rsid w:val="007D3DC8"/>
    <w:rsid w:val="007D497D"/>
    <w:rsid w:val="007D61A8"/>
    <w:rsid w:val="007D6504"/>
    <w:rsid w:val="007D68C2"/>
    <w:rsid w:val="007D756E"/>
    <w:rsid w:val="007D79FE"/>
    <w:rsid w:val="007E0B5D"/>
    <w:rsid w:val="007E4E6F"/>
    <w:rsid w:val="007E55F5"/>
    <w:rsid w:val="007E7BE3"/>
    <w:rsid w:val="007F025E"/>
    <w:rsid w:val="007F0CCF"/>
    <w:rsid w:val="007F11C9"/>
    <w:rsid w:val="007F18AF"/>
    <w:rsid w:val="007F2C85"/>
    <w:rsid w:val="007F371B"/>
    <w:rsid w:val="007F3CED"/>
    <w:rsid w:val="007F5522"/>
    <w:rsid w:val="007F58EA"/>
    <w:rsid w:val="007F6B31"/>
    <w:rsid w:val="007F6F7A"/>
    <w:rsid w:val="00800E1F"/>
    <w:rsid w:val="00801EF8"/>
    <w:rsid w:val="0080283D"/>
    <w:rsid w:val="00803E0D"/>
    <w:rsid w:val="00806E7D"/>
    <w:rsid w:val="00807AD0"/>
    <w:rsid w:val="00812235"/>
    <w:rsid w:val="008156B6"/>
    <w:rsid w:val="008159BF"/>
    <w:rsid w:val="00815EBE"/>
    <w:rsid w:val="00820609"/>
    <w:rsid w:val="00820A7A"/>
    <w:rsid w:val="0082157A"/>
    <w:rsid w:val="008222D2"/>
    <w:rsid w:val="0082311C"/>
    <w:rsid w:val="0082367C"/>
    <w:rsid w:val="00823D94"/>
    <w:rsid w:val="00825683"/>
    <w:rsid w:val="00825B31"/>
    <w:rsid w:val="00825F96"/>
    <w:rsid w:val="008266DD"/>
    <w:rsid w:val="00827099"/>
    <w:rsid w:val="008311ED"/>
    <w:rsid w:val="00832011"/>
    <w:rsid w:val="00834B7D"/>
    <w:rsid w:val="00836A55"/>
    <w:rsid w:val="00836BC4"/>
    <w:rsid w:val="00843349"/>
    <w:rsid w:val="00843BBA"/>
    <w:rsid w:val="00844932"/>
    <w:rsid w:val="008461DA"/>
    <w:rsid w:val="008464C5"/>
    <w:rsid w:val="00850FD4"/>
    <w:rsid w:val="0085149E"/>
    <w:rsid w:val="00853FAC"/>
    <w:rsid w:val="00854943"/>
    <w:rsid w:val="00855157"/>
    <w:rsid w:val="00855CC0"/>
    <w:rsid w:val="008572BF"/>
    <w:rsid w:val="008621C1"/>
    <w:rsid w:val="00863C07"/>
    <w:rsid w:val="00863CFD"/>
    <w:rsid w:val="00864886"/>
    <w:rsid w:val="00866320"/>
    <w:rsid w:val="00866E4E"/>
    <w:rsid w:val="0087519B"/>
    <w:rsid w:val="00876D8B"/>
    <w:rsid w:val="008804E3"/>
    <w:rsid w:val="0088127F"/>
    <w:rsid w:val="00881C1D"/>
    <w:rsid w:val="00882406"/>
    <w:rsid w:val="00883DF6"/>
    <w:rsid w:val="008842CB"/>
    <w:rsid w:val="00884500"/>
    <w:rsid w:val="00884696"/>
    <w:rsid w:val="00884697"/>
    <w:rsid w:val="00884C2A"/>
    <w:rsid w:val="00885775"/>
    <w:rsid w:val="008859C0"/>
    <w:rsid w:val="00885B26"/>
    <w:rsid w:val="00887468"/>
    <w:rsid w:val="00890BAA"/>
    <w:rsid w:val="00890C7B"/>
    <w:rsid w:val="00890EB2"/>
    <w:rsid w:val="008913F2"/>
    <w:rsid w:val="00894070"/>
    <w:rsid w:val="00894AA8"/>
    <w:rsid w:val="00894ABA"/>
    <w:rsid w:val="00896F9B"/>
    <w:rsid w:val="008A06B8"/>
    <w:rsid w:val="008A3238"/>
    <w:rsid w:val="008A3B16"/>
    <w:rsid w:val="008A4B07"/>
    <w:rsid w:val="008A7FC6"/>
    <w:rsid w:val="008B00EE"/>
    <w:rsid w:val="008B0F21"/>
    <w:rsid w:val="008B11C1"/>
    <w:rsid w:val="008B1E30"/>
    <w:rsid w:val="008B5422"/>
    <w:rsid w:val="008B6540"/>
    <w:rsid w:val="008B73C3"/>
    <w:rsid w:val="008C19CC"/>
    <w:rsid w:val="008C2DD1"/>
    <w:rsid w:val="008C30D1"/>
    <w:rsid w:val="008C58D8"/>
    <w:rsid w:val="008C59D7"/>
    <w:rsid w:val="008C7901"/>
    <w:rsid w:val="008D1252"/>
    <w:rsid w:val="008D3C1F"/>
    <w:rsid w:val="008D471E"/>
    <w:rsid w:val="008D49DE"/>
    <w:rsid w:val="008D5434"/>
    <w:rsid w:val="008D5A89"/>
    <w:rsid w:val="008E276F"/>
    <w:rsid w:val="008E2D52"/>
    <w:rsid w:val="008E2E2E"/>
    <w:rsid w:val="008E4342"/>
    <w:rsid w:val="008E5AE4"/>
    <w:rsid w:val="008E5FB4"/>
    <w:rsid w:val="008E6715"/>
    <w:rsid w:val="008E7D50"/>
    <w:rsid w:val="008F03F0"/>
    <w:rsid w:val="008F0BCA"/>
    <w:rsid w:val="008F3898"/>
    <w:rsid w:val="008F39C7"/>
    <w:rsid w:val="008F4292"/>
    <w:rsid w:val="008F4FB2"/>
    <w:rsid w:val="008F56A7"/>
    <w:rsid w:val="008F5DB2"/>
    <w:rsid w:val="008F6255"/>
    <w:rsid w:val="008F7A42"/>
    <w:rsid w:val="00900002"/>
    <w:rsid w:val="00900184"/>
    <w:rsid w:val="0090058E"/>
    <w:rsid w:val="00901A4D"/>
    <w:rsid w:val="00903504"/>
    <w:rsid w:val="00904719"/>
    <w:rsid w:val="00904ED3"/>
    <w:rsid w:val="00907268"/>
    <w:rsid w:val="00907F21"/>
    <w:rsid w:val="009102E8"/>
    <w:rsid w:val="009120CF"/>
    <w:rsid w:val="009121DD"/>
    <w:rsid w:val="00913514"/>
    <w:rsid w:val="00913765"/>
    <w:rsid w:val="00914005"/>
    <w:rsid w:val="009147D1"/>
    <w:rsid w:val="009157AC"/>
    <w:rsid w:val="00915A60"/>
    <w:rsid w:val="0091684B"/>
    <w:rsid w:val="00916E7B"/>
    <w:rsid w:val="00920487"/>
    <w:rsid w:val="00920E8B"/>
    <w:rsid w:val="00923D5D"/>
    <w:rsid w:val="00925BB8"/>
    <w:rsid w:val="00925C75"/>
    <w:rsid w:val="00926444"/>
    <w:rsid w:val="00926EE4"/>
    <w:rsid w:val="00930EE5"/>
    <w:rsid w:val="00932C0F"/>
    <w:rsid w:val="00932CE5"/>
    <w:rsid w:val="00932DE4"/>
    <w:rsid w:val="009334DB"/>
    <w:rsid w:val="00933BE6"/>
    <w:rsid w:val="00933D7F"/>
    <w:rsid w:val="00935470"/>
    <w:rsid w:val="009365E8"/>
    <w:rsid w:val="00936B04"/>
    <w:rsid w:val="009372E7"/>
    <w:rsid w:val="00937890"/>
    <w:rsid w:val="00937B82"/>
    <w:rsid w:val="00937E02"/>
    <w:rsid w:val="0094076D"/>
    <w:rsid w:val="009416EA"/>
    <w:rsid w:val="00941AE9"/>
    <w:rsid w:val="00941B10"/>
    <w:rsid w:val="00941B6A"/>
    <w:rsid w:val="00942A1B"/>
    <w:rsid w:val="00943890"/>
    <w:rsid w:val="00943ABC"/>
    <w:rsid w:val="009457C4"/>
    <w:rsid w:val="00947F57"/>
    <w:rsid w:val="0095038D"/>
    <w:rsid w:val="00951AB1"/>
    <w:rsid w:val="00952C72"/>
    <w:rsid w:val="0095325C"/>
    <w:rsid w:val="009541ED"/>
    <w:rsid w:val="009548F7"/>
    <w:rsid w:val="00955A33"/>
    <w:rsid w:val="00956481"/>
    <w:rsid w:val="0095757E"/>
    <w:rsid w:val="009608F3"/>
    <w:rsid w:val="00961139"/>
    <w:rsid w:val="00962029"/>
    <w:rsid w:val="009621F6"/>
    <w:rsid w:val="0096239A"/>
    <w:rsid w:val="00962772"/>
    <w:rsid w:val="00962DFE"/>
    <w:rsid w:val="009636A1"/>
    <w:rsid w:val="00965115"/>
    <w:rsid w:val="0096642F"/>
    <w:rsid w:val="00971414"/>
    <w:rsid w:val="0097210F"/>
    <w:rsid w:val="009725FF"/>
    <w:rsid w:val="009731CD"/>
    <w:rsid w:val="009749E0"/>
    <w:rsid w:val="00977857"/>
    <w:rsid w:val="009779C0"/>
    <w:rsid w:val="00981A25"/>
    <w:rsid w:val="0098413D"/>
    <w:rsid w:val="00984A68"/>
    <w:rsid w:val="00985790"/>
    <w:rsid w:val="00985CEB"/>
    <w:rsid w:val="00986461"/>
    <w:rsid w:val="00986532"/>
    <w:rsid w:val="00986AF1"/>
    <w:rsid w:val="00986E5E"/>
    <w:rsid w:val="009922BA"/>
    <w:rsid w:val="009923C8"/>
    <w:rsid w:val="00992780"/>
    <w:rsid w:val="00993D61"/>
    <w:rsid w:val="00994794"/>
    <w:rsid w:val="00994893"/>
    <w:rsid w:val="00994B88"/>
    <w:rsid w:val="00995201"/>
    <w:rsid w:val="009968E2"/>
    <w:rsid w:val="00997239"/>
    <w:rsid w:val="00997D51"/>
    <w:rsid w:val="009A0035"/>
    <w:rsid w:val="009A1E1F"/>
    <w:rsid w:val="009A3566"/>
    <w:rsid w:val="009A41ED"/>
    <w:rsid w:val="009A453A"/>
    <w:rsid w:val="009A64B4"/>
    <w:rsid w:val="009A6BDD"/>
    <w:rsid w:val="009A6F82"/>
    <w:rsid w:val="009A7132"/>
    <w:rsid w:val="009B03E7"/>
    <w:rsid w:val="009B2AC0"/>
    <w:rsid w:val="009B2B12"/>
    <w:rsid w:val="009B30D7"/>
    <w:rsid w:val="009B38D8"/>
    <w:rsid w:val="009B3C07"/>
    <w:rsid w:val="009B43DC"/>
    <w:rsid w:val="009B591D"/>
    <w:rsid w:val="009B5FB2"/>
    <w:rsid w:val="009B70FB"/>
    <w:rsid w:val="009C0B2A"/>
    <w:rsid w:val="009C1F22"/>
    <w:rsid w:val="009C2176"/>
    <w:rsid w:val="009C2B0E"/>
    <w:rsid w:val="009C3395"/>
    <w:rsid w:val="009C3BCF"/>
    <w:rsid w:val="009C3CD5"/>
    <w:rsid w:val="009C42BF"/>
    <w:rsid w:val="009C43B9"/>
    <w:rsid w:val="009C48CA"/>
    <w:rsid w:val="009D08E0"/>
    <w:rsid w:val="009D0CB8"/>
    <w:rsid w:val="009D1169"/>
    <w:rsid w:val="009D116B"/>
    <w:rsid w:val="009D1E0F"/>
    <w:rsid w:val="009D20AD"/>
    <w:rsid w:val="009D3440"/>
    <w:rsid w:val="009D4C90"/>
    <w:rsid w:val="009D5B45"/>
    <w:rsid w:val="009D5E0E"/>
    <w:rsid w:val="009D72FD"/>
    <w:rsid w:val="009E2664"/>
    <w:rsid w:val="009E2FBA"/>
    <w:rsid w:val="009E3588"/>
    <w:rsid w:val="009E5292"/>
    <w:rsid w:val="009E55D1"/>
    <w:rsid w:val="009E5759"/>
    <w:rsid w:val="009E5D73"/>
    <w:rsid w:val="009F0997"/>
    <w:rsid w:val="009F1230"/>
    <w:rsid w:val="009F2662"/>
    <w:rsid w:val="009F2830"/>
    <w:rsid w:val="009F418C"/>
    <w:rsid w:val="009F5984"/>
    <w:rsid w:val="009F5E40"/>
    <w:rsid w:val="009F623B"/>
    <w:rsid w:val="009F6918"/>
    <w:rsid w:val="009F7786"/>
    <w:rsid w:val="009F78F1"/>
    <w:rsid w:val="00A000B8"/>
    <w:rsid w:val="00A0063D"/>
    <w:rsid w:val="00A0087A"/>
    <w:rsid w:val="00A01609"/>
    <w:rsid w:val="00A02888"/>
    <w:rsid w:val="00A02D05"/>
    <w:rsid w:val="00A0462B"/>
    <w:rsid w:val="00A051C1"/>
    <w:rsid w:val="00A05B24"/>
    <w:rsid w:val="00A07205"/>
    <w:rsid w:val="00A102C2"/>
    <w:rsid w:val="00A109F6"/>
    <w:rsid w:val="00A10F67"/>
    <w:rsid w:val="00A1177D"/>
    <w:rsid w:val="00A11CD9"/>
    <w:rsid w:val="00A12B91"/>
    <w:rsid w:val="00A13D54"/>
    <w:rsid w:val="00A13FDB"/>
    <w:rsid w:val="00A148F7"/>
    <w:rsid w:val="00A15FAC"/>
    <w:rsid w:val="00A165F4"/>
    <w:rsid w:val="00A237E2"/>
    <w:rsid w:val="00A2434D"/>
    <w:rsid w:val="00A25C4C"/>
    <w:rsid w:val="00A25E6B"/>
    <w:rsid w:val="00A261CE"/>
    <w:rsid w:val="00A273F9"/>
    <w:rsid w:val="00A305C1"/>
    <w:rsid w:val="00A31543"/>
    <w:rsid w:val="00A315C2"/>
    <w:rsid w:val="00A31A29"/>
    <w:rsid w:val="00A32286"/>
    <w:rsid w:val="00A323A3"/>
    <w:rsid w:val="00A33137"/>
    <w:rsid w:val="00A33BFD"/>
    <w:rsid w:val="00A346C8"/>
    <w:rsid w:val="00A35F7D"/>
    <w:rsid w:val="00A36026"/>
    <w:rsid w:val="00A368A4"/>
    <w:rsid w:val="00A4032C"/>
    <w:rsid w:val="00A41AF1"/>
    <w:rsid w:val="00A41B25"/>
    <w:rsid w:val="00A42D56"/>
    <w:rsid w:val="00A44573"/>
    <w:rsid w:val="00A46A74"/>
    <w:rsid w:val="00A476C7"/>
    <w:rsid w:val="00A4787B"/>
    <w:rsid w:val="00A47950"/>
    <w:rsid w:val="00A47D8C"/>
    <w:rsid w:val="00A47F20"/>
    <w:rsid w:val="00A512E4"/>
    <w:rsid w:val="00A515AA"/>
    <w:rsid w:val="00A517A3"/>
    <w:rsid w:val="00A519C8"/>
    <w:rsid w:val="00A5267F"/>
    <w:rsid w:val="00A5336E"/>
    <w:rsid w:val="00A53933"/>
    <w:rsid w:val="00A53C2A"/>
    <w:rsid w:val="00A556FC"/>
    <w:rsid w:val="00A560A4"/>
    <w:rsid w:val="00A56CD8"/>
    <w:rsid w:val="00A57D23"/>
    <w:rsid w:val="00A60386"/>
    <w:rsid w:val="00A6243D"/>
    <w:rsid w:val="00A632A7"/>
    <w:rsid w:val="00A63688"/>
    <w:rsid w:val="00A63816"/>
    <w:rsid w:val="00A63A7C"/>
    <w:rsid w:val="00A6405E"/>
    <w:rsid w:val="00A65D7A"/>
    <w:rsid w:val="00A66BB7"/>
    <w:rsid w:val="00A6723A"/>
    <w:rsid w:val="00A67D6E"/>
    <w:rsid w:val="00A708C1"/>
    <w:rsid w:val="00A71AF3"/>
    <w:rsid w:val="00A733FE"/>
    <w:rsid w:val="00A73962"/>
    <w:rsid w:val="00A73AF4"/>
    <w:rsid w:val="00A73B79"/>
    <w:rsid w:val="00A750BC"/>
    <w:rsid w:val="00A8046E"/>
    <w:rsid w:val="00A813AA"/>
    <w:rsid w:val="00A814C0"/>
    <w:rsid w:val="00A82BCF"/>
    <w:rsid w:val="00A83AC6"/>
    <w:rsid w:val="00A8461C"/>
    <w:rsid w:val="00A850EC"/>
    <w:rsid w:val="00A85A76"/>
    <w:rsid w:val="00A85AEB"/>
    <w:rsid w:val="00A875CB"/>
    <w:rsid w:val="00A902E5"/>
    <w:rsid w:val="00A90E99"/>
    <w:rsid w:val="00A91D10"/>
    <w:rsid w:val="00A937D9"/>
    <w:rsid w:val="00A947AC"/>
    <w:rsid w:val="00A9511E"/>
    <w:rsid w:val="00A95497"/>
    <w:rsid w:val="00A95DCA"/>
    <w:rsid w:val="00A9602B"/>
    <w:rsid w:val="00A969BE"/>
    <w:rsid w:val="00AA0159"/>
    <w:rsid w:val="00AA2467"/>
    <w:rsid w:val="00AA4238"/>
    <w:rsid w:val="00AA5228"/>
    <w:rsid w:val="00AA7E4A"/>
    <w:rsid w:val="00AB02D6"/>
    <w:rsid w:val="00AB0706"/>
    <w:rsid w:val="00AB0B2D"/>
    <w:rsid w:val="00AB244B"/>
    <w:rsid w:val="00AB3945"/>
    <w:rsid w:val="00AB4CBF"/>
    <w:rsid w:val="00AB5640"/>
    <w:rsid w:val="00AB5B90"/>
    <w:rsid w:val="00AB6E3B"/>
    <w:rsid w:val="00AB7133"/>
    <w:rsid w:val="00AC04A1"/>
    <w:rsid w:val="00AC079A"/>
    <w:rsid w:val="00AC0D36"/>
    <w:rsid w:val="00AC106E"/>
    <w:rsid w:val="00AC2B3D"/>
    <w:rsid w:val="00AC51E5"/>
    <w:rsid w:val="00AC6679"/>
    <w:rsid w:val="00AC69DE"/>
    <w:rsid w:val="00AD001D"/>
    <w:rsid w:val="00AD0157"/>
    <w:rsid w:val="00AD01E1"/>
    <w:rsid w:val="00AD06BA"/>
    <w:rsid w:val="00AD0C35"/>
    <w:rsid w:val="00AD1E7E"/>
    <w:rsid w:val="00AD2BD1"/>
    <w:rsid w:val="00AD3197"/>
    <w:rsid w:val="00AD335E"/>
    <w:rsid w:val="00AD4B84"/>
    <w:rsid w:val="00AD57D9"/>
    <w:rsid w:val="00AD57F1"/>
    <w:rsid w:val="00AD7934"/>
    <w:rsid w:val="00AD7C72"/>
    <w:rsid w:val="00AD7D4B"/>
    <w:rsid w:val="00AE130B"/>
    <w:rsid w:val="00AE232D"/>
    <w:rsid w:val="00AE252E"/>
    <w:rsid w:val="00AE2740"/>
    <w:rsid w:val="00AE3CAD"/>
    <w:rsid w:val="00AE5D18"/>
    <w:rsid w:val="00AE6407"/>
    <w:rsid w:val="00AE6C83"/>
    <w:rsid w:val="00AE6D7A"/>
    <w:rsid w:val="00AE79C8"/>
    <w:rsid w:val="00AF09FB"/>
    <w:rsid w:val="00AF15C0"/>
    <w:rsid w:val="00AF3452"/>
    <w:rsid w:val="00AF3C06"/>
    <w:rsid w:val="00AF41CF"/>
    <w:rsid w:val="00AF458F"/>
    <w:rsid w:val="00AF4908"/>
    <w:rsid w:val="00AF51D3"/>
    <w:rsid w:val="00AF5923"/>
    <w:rsid w:val="00AF65C4"/>
    <w:rsid w:val="00B00823"/>
    <w:rsid w:val="00B009F2"/>
    <w:rsid w:val="00B00C82"/>
    <w:rsid w:val="00B02963"/>
    <w:rsid w:val="00B03362"/>
    <w:rsid w:val="00B034C6"/>
    <w:rsid w:val="00B03653"/>
    <w:rsid w:val="00B059B6"/>
    <w:rsid w:val="00B059F0"/>
    <w:rsid w:val="00B0670E"/>
    <w:rsid w:val="00B07005"/>
    <w:rsid w:val="00B074AA"/>
    <w:rsid w:val="00B07F1B"/>
    <w:rsid w:val="00B12396"/>
    <w:rsid w:val="00B1292A"/>
    <w:rsid w:val="00B12E8E"/>
    <w:rsid w:val="00B1390B"/>
    <w:rsid w:val="00B15A20"/>
    <w:rsid w:val="00B15D9E"/>
    <w:rsid w:val="00B17D69"/>
    <w:rsid w:val="00B2038A"/>
    <w:rsid w:val="00B208E6"/>
    <w:rsid w:val="00B219A1"/>
    <w:rsid w:val="00B2275F"/>
    <w:rsid w:val="00B22D30"/>
    <w:rsid w:val="00B23296"/>
    <w:rsid w:val="00B2487D"/>
    <w:rsid w:val="00B27BAD"/>
    <w:rsid w:val="00B30927"/>
    <w:rsid w:val="00B31AC0"/>
    <w:rsid w:val="00B326DA"/>
    <w:rsid w:val="00B32A01"/>
    <w:rsid w:val="00B32D74"/>
    <w:rsid w:val="00B33911"/>
    <w:rsid w:val="00B33DAE"/>
    <w:rsid w:val="00B34278"/>
    <w:rsid w:val="00B354FC"/>
    <w:rsid w:val="00B3696F"/>
    <w:rsid w:val="00B37285"/>
    <w:rsid w:val="00B376AD"/>
    <w:rsid w:val="00B37DDF"/>
    <w:rsid w:val="00B40482"/>
    <w:rsid w:val="00B40CF9"/>
    <w:rsid w:val="00B40D52"/>
    <w:rsid w:val="00B419F4"/>
    <w:rsid w:val="00B42B41"/>
    <w:rsid w:val="00B42DEE"/>
    <w:rsid w:val="00B4310E"/>
    <w:rsid w:val="00B44441"/>
    <w:rsid w:val="00B45757"/>
    <w:rsid w:val="00B46CFD"/>
    <w:rsid w:val="00B47CB2"/>
    <w:rsid w:val="00B50BBC"/>
    <w:rsid w:val="00B50C70"/>
    <w:rsid w:val="00B52FA9"/>
    <w:rsid w:val="00B53551"/>
    <w:rsid w:val="00B53B17"/>
    <w:rsid w:val="00B558B0"/>
    <w:rsid w:val="00B56550"/>
    <w:rsid w:val="00B56F30"/>
    <w:rsid w:val="00B57466"/>
    <w:rsid w:val="00B57524"/>
    <w:rsid w:val="00B603BB"/>
    <w:rsid w:val="00B60B2D"/>
    <w:rsid w:val="00B60C40"/>
    <w:rsid w:val="00B627A2"/>
    <w:rsid w:val="00B64168"/>
    <w:rsid w:val="00B64627"/>
    <w:rsid w:val="00B64712"/>
    <w:rsid w:val="00B65F93"/>
    <w:rsid w:val="00B7474B"/>
    <w:rsid w:val="00B7483E"/>
    <w:rsid w:val="00B74BA5"/>
    <w:rsid w:val="00B75B60"/>
    <w:rsid w:val="00B767CD"/>
    <w:rsid w:val="00B76EF0"/>
    <w:rsid w:val="00B77C1F"/>
    <w:rsid w:val="00B805C7"/>
    <w:rsid w:val="00B819CE"/>
    <w:rsid w:val="00B81F41"/>
    <w:rsid w:val="00B8346C"/>
    <w:rsid w:val="00B84B88"/>
    <w:rsid w:val="00B84EC9"/>
    <w:rsid w:val="00B852C8"/>
    <w:rsid w:val="00B91ADB"/>
    <w:rsid w:val="00B922C2"/>
    <w:rsid w:val="00B922D8"/>
    <w:rsid w:val="00B92739"/>
    <w:rsid w:val="00B92B0D"/>
    <w:rsid w:val="00B93601"/>
    <w:rsid w:val="00B93D3E"/>
    <w:rsid w:val="00B942A8"/>
    <w:rsid w:val="00B96405"/>
    <w:rsid w:val="00B965B6"/>
    <w:rsid w:val="00B968F2"/>
    <w:rsid w:val="00B9755A"/>
    <w:rsid w:val="00B97C08"/>
    <w:rsid w:val="00BA25BD"/>
    <w:rsid w:val="00BA386B"/>
    <w:rsid w:val="00BA40D7"/>
    <w:rsid w:val="00BA415A"/>
    <w:rsid w:val="00BA4539"/>
    <w:rsid w:val="00BA4DEB"/>
    <w:rsid w:val="00BA5E41"/>
    <w:rsid w:val="00BA670E"/>
    <w:rsid w:val="00BA72EF"/>
    <w:rsid w:val="00BA75FE"/>
    <w:rsid w:val="00BA776A"/>
    <w:rsid w:val="00BB0298"/>
    <w:rsid w:val="00BB0BB8"/>
    <w:rsid w:val="00BB4E11"/>
    <w:rsid w:val="00BB53D4"/>
    <w:rsid w:val="00BB591C"/>
    <w:rsid w:val="00BC004C"/>
    <w:rsid w:val="00BC1B34"/>
    <w:rsid w:val="00BC3980"/>
    <w:rsid w:val="00BC3E65"/>
    <w:rsid w:val="00BC3F5C"/>
    <w:rsid w:val="00BC4CDB"/>
    <w:rsid w:val="00BC51F4"/>
    <w:rsid w:val="00BC606B"/>
    <w:rsid w:val="00BC6BBB"/>
    <w:rsid w:val="00BC73F9"/>
    <w:rsid w:val="00BC7B0F"/>
    <w:rsid w:val="00BD0098"/>
    <w:rsid w:val="00BD08EF"/>
    <w:rsid w:val="00BD0DF7"/>
    <w:rsid w:val="00BD1180"/>
    <w:rsid w:val="00BD185D"/>
    <w:rsid w:val="00BD3581"/>
    <w:rsid w:val="00BD3B2E"/>
    <w:rsid w:val="00BD5A74"/>
    <w:rsid w:val="00BD61C7"/>
    <w:rsid w:val="00BD6707"/>
    <w:rsid w:val="00BD6ABF"/>
    <w:rsid w:val="00BE073B"/>
    <w:rsid w:val="00BE25D1"/>
    <w:rsid w:val="00BE2BB7"/>
    <w:rsid w:val="00BE2C1D"/>
    <w:rsid w:val="00BE2E14"/>
    <w:rsid w:val="00BE4F40"/>
    <w:rsid w:val="00BF0972"/>
    <w:rsid w:val="00BF1AD6"/>
    <w:rsid w:val="00BF1E6B"/>
    <w:rsid w:val="00BF2896"/>
    <w:rsid w:val="00BF3A74"/>
    <w:rsid w:val="00BF456B"/>
    <w:rsid w:val="00BF489D"/>
    <w:rsid w:val="00BF48BE"/>
    <w:rsid w:val="00BF645A"/>
    <w:rsid w:val="00BF6C5A"/>
    <w:rsid w:val="00BF6DD3"/>
    <w:rsid w:val="00BF77B3"/>
    <w:rsid w:val="00C007D0"/>
    <w:rsid w:val="00C01DC0"/>
    <w:rsid w:val="00C03107"/>
    <w:rsid w:val="00C03B25"/>
    <w:rsid w:val="00C117A3"/>
    <w:rsid w:val="00C12009"/>
    <w:rsid w:val="00C1293A"/>
    <w:rsid w:val="00C12C79"/>
    <w:rsid w:val="00C13097"/>
    <w:rsid w:val="00C13FEC"/>
    <w:rsid w:val="00C142FA"/>
    <w:rsid w:val="00C17697"/>
    <w:rsid w:val="00C2087E"/>
    <w:rsid w:val="00C20F13"/>
    <w:rsid w:val="00C21CD7"/>
    <w:rsid w:val="00C23AE2"/>
    <w:rsid w:val="00C24857"/>
    <w:rsid w:val="00C24FD7"/>
    <w:rsid w:val="00C25370"/>
    <w:rsid w:val="00C266EA"/>
    <w:rsid w:val="00C267B4"/>
    <w:rsid w:val="00C2738E"/>
    <w:rsid w:val="00C27762"/>
    <w:rsid w:val="00C30FB4"/>
    <w:rsid w:val="00C31193"/>
    <w:rsid w:val="00C31650"/>
    <w:rsid w:val="00C32A7A"/>
    <w:rsid w:val="00C32CB4"/>
    <w:rsid w:val="00C32E08"/>
    <w:rsid w:val="00C343C6"/>
    <w:rsid w:val="00C35293"/>
    <w:rsid w:val="00C35927"/>
    <w:rsid w:val="00C363F9"/>
    <w:rsid w:val="00C36826"/>
    <w:rsid w:val="00C36CF1"/>
    <w:rsid w:val="00C370A8"/>
    <w:rsid w:val="00C401EB"/>
    <w:rsid w:val="00C40A03"/>
    <w:rsid w:val="00C414D6"/>
    <w:rsid w:val="00C41F25"/>
    <w:rsid w:val="00C42926"/>
    <w:rsid w:val="00C4339A"/>
    <w:rsid w:val="00C4353E"/>
    <w:rsid w:val="00C449D2"/>
    <w:rsid w:val="00C44FA6"/>
    <w:rsid w:val="00C46C28"/>
    <w:rsid w:val="00C46D98"/>
    <w:rsid w:val="00C50B21"/>
    <w:rsid w:val="00C51327"/>
    <w:rsid w:val="00C518FB"/>
    <w:rsid w:val="00C53D6B"/>
    <w:rsid w:val="00C53F95"/>
    <w:rsid w:val="00C5403B"/>
    <w:rsid w:val="00C54314"/>
    <w:rsid w:val="00C54481"/>
    <w:rsid w:val="00C558E1"/>
    <w:rsid w:val="00C564E3"/>
    <w:rsid w:val="00C60DF9"/>
    <w:rsid w:val="00C624F1"/>
    <w:rsid w:val="00C63623"/>
    <w:rsid w:val="00C63CA3"/>
    <w:rsid w:val="00C63F89"/>
    <w:rsid w:val="00C64E32"/>
    <w:rsid w:val="00C64F03"/>
    <w:rsid w:val="00C6569D"/>
    <w:rsid w:val="00C6584D"/>
    <w:rsid w:val="00C678D0"/>
    <w:rsid w:val="00C67C81"/>
    <w:rsid w:val="00C70F0E"/>
    <w:rsid w:val="00C711DA"/>
    <w:rsid w:val="00C7257A"/>
    <w:rsid w:val="00C72654"/>
    <w:rsid w:val="00C72B8A"/>
    <w:rsid w:val="00C7433F"/>
    <w:rsid w:val="00C7473E"/>
    <w:rsid w:val="00C74C9E"/>
    <w:rsid w:val="00C75046"/>
    <w:rsid w:val="00C765A0"/>
    <w:rsid w:val="00C77A7D"/>
    <w:rsid w:val="00C80209"/>
    <w:rsid w:val="00C81643"/>
    <w:rsid w:val="00C81BFC"/>
    <w:rsid w:val="00C82A26"/>
    <w:rsid w:val="00C82FB1"/>
    <w:rsid w:val="00C831BD"/>
    <w:rsid w:val="00C83C2F"/>
    <w:rsid w:val="00C850F4"/>
    <w:rsid w:val="00C85C8D"/>
    <w:rsid w:val="00C85F62"/>
    <w:rsid w:val="00C86F62"/>
    <w:rsid w:val="00C86F9A"/>
    <w:rsid w:val="00C8798B"/>
    <w:rsid w:val="00C87A89"/>
    <w:rsid w:val="00C901EE"/>
    <w:rsid w:val="00C9034A"/>
    <w:rsid w:val="00C904F7"/>
    <w:rsid w:val="00C905EF"/>
    <w:rsid w:val="00C90B12"/>
    <w:rsid w:val="00C91144"/>
    <w:rsid w:val="00C92780"/>
    <w:rsid w:val="00C94853"/>
    <w:rsid w:val="00C94BEC"/>
    <w:rsid w:val="00C94C1C"/>
    <w:rsid w:val="00C9628F"/>
    <w:rsid w:val="00C9713D"/>
    <w:rsid w:val="00CA224F"/>
    <w:rsid w:val="00CA31F2"/>
    <w:rsid w:val="00CA36A5"/>
    <w:rsid w:val="00CA41FA"/>
    <w:rsid w:val="00CA4B34"/>
    <w:rsid w:val="00CA5287"/>
    <w:rsid w:val="00CA5370"/>
    <w:rsid w:val="00CA55E4"/>
    <w:rsid w:val="00CA6235"/>
    <w:rsid w:val="00CA7BCD"/>
    <w:rsid w:val="00CA7F07"/>
    <w:rsid w:val="00CB0707"/>
    <w:rsid w:val="00CB0D29"/>
    <w:rsid w:val="00CB112B"/>
    <w:rsid w:val="00CB116B"/>
    <w:rsid w:val="00CB1F62"/>
    <w:rsid w:val="00CB1F7A"/>
    <w:rsid w:val="00CB22F9"/>
    <w:rsid w:val="00CB287A"/>
    <w:rsid w:val="00CB3031"/>
    <w:rsid w:val="00CB350B"/>
    <w:rsid w:val="00CB41FB"/>
    <w:rsid w:val="00CB4212"/>
    <w:rsid w:val="00CB58CB"/>
    <w:rsid w:val="00CB669B"/>
    <w:rsid w:val="00CC0B3F"/>
    <w:rsid w:val="00CC1999"/>
    <w:rsid w:val="00CC2270"/>
    <w:rsid w:val="00CC2BDF"/>
    <w:rsid w:val="00CC51FD"/>
    <w:rsid w:val="00CC538B"/>
    <w:rsid w:val="00CC544E"/>
    <w:rsid w:val="00CC7F70"/>
    <w:rsid w:val="00CD040C"/>
    <w:rsid w:val="00CD07A9"/>
    <w:rsid w:val="00CD0B24"/>
    <w:rsid w:val="00CD1216"/>
    <w:rsid w:val="00CD14FE"/>
    <w:rsid w:val="00CD1778"/>
    <w:rsid w:val="00CD21B1"/>
    <w:rsid w:val="00CD282D"/>
    <w:rsid w:val="00CD393D"/>
    <w:rsid w:val="00CD3A21"/>
    <w:rsid w:val="00CD5839"/>
    <w:rsid w:val="00CD6203"/>
    <w:rsid w:val="00CD7282"/>
    <w:rsid w:val="00CD778A"/>
    <w:rsid w:val="00CD7A1A"/>
    <w:rsid w:val="00CE08BC"/>
    <w:rsid w:val="00CE367C"/>
    <w:rsid w:val="00CE4E42"/>
    <w:rsid w:val="00CE58D4"/>
    <w:rsid w:val="00CE62E6"/>
    <w:rsid w:val="00CF0E3F"/>
    <w:rsid w:val="00CF14D7"/>
    <w:rsid w:val="00CF14DA"/>
    <w:rsid w:val="00CF19EB"/>
    <w:rsid w:val="00CF2BFC"/>
    <w:rsid w:val="00CF3DA7"/>
    <w:rsid w:val="00CF41F1"/>
    <w:rsid w:val="00CF64DF"/>
    <w:rsid w:val="00CF781A"/>
    <w:rsid w:val="00D006C4"/>
    <w:rsid w:val="00D00933"/>
    <w:rsid w:val="00D02336"/>
    <w:rsid w:val="00D03290"/>
    <w:rsid w:val="00D0422F"/>
    <w:rsid w:val="00D079F0"/>
    <w:rsid w:val="00D10F2E"/>
    <w:rsid w:val="00D13360"/>
    <w:rsid w:val="00D14179"/>
    <w:rsid w:val="00D16689"/>
    <w:rsid w:val="00D22BEB"/>
    <w:rsid w:val="00D25C3E"/>
    <w:rsid w:val="00D26279"/>
    <w:rsid w:val="00D301B1"/>
    <w:rsid w:val="00D30458"/>
    <w:rsid w:val="00D30C42"/>
    <w:rsid w:val="00D30D34"/>
    <w:rsid w:val="00D312DF"/>
    <w:rsid w:val="00D3131A"/>
    <w:rsid w:val="00D31A0E"/>
    <w:rsid w:val="00D32BDC"/>
    <w:rsid w:val="00D333D3"/>
    <w:rsid w:val="00D335F1"/>
    <w:rsid w:val="00D33CD8"/>
    <w:rsid w:val="00D34E43"/>
    <w:rsid w:val="00D353AE"/>
    <w:rsid w:val="00D35545"/>
    <w:rsid w:val="00D3648D"/>
    <w:rsid w:val="00D36786"/>
    <w:rsid w:val="00D40F17"/>
    <w:rsid w:val="00D41F5D"/>
    <w:rsid w:val="00D42457"/>
    <w:rsid w:val="00D4294A"/>
    <w:rsid w:val="00D42B43"/>
    <w:rsid w:val="00D43330"/>
    <w:rsid w:val="00D43D4D"/>
    <w:rsid w:val="00D45C1C"/>
    <w:rsid w:val="00D45E03"/>
    <w:rsid w:val="00D47170"/>
    <w:rsid w:val="00D50F5B"/>
    <w:rsid w:val="00D51812"/>
    <w:rsid w:val="00D51FAC"/>
    <w:rsid w:val="00D529A0"/>
    <w:rsid w:val="00D52D2D"/>
    <w:rsid w:val="00D53DDF"/>
    <w:rsid w:val="00D55007"/>
    <w:rsid w:val="00D55D46"/>
    <w:rsid w:val="00D568C3"/>
    <w:rsid w:val="00D6029E"/>
    <w:rsid w:val="00D6035F"/>
    <w:rsid w:val="00D61A3D"/>
    <w:rsid w:val="00D61F09"/>
    <w:rsid w:val="00D6384E"/>
    <w:rsid w:val="00D63CA8"/>
    <w:rsid w:val="00D662FD"/>
    <w:rsid w:val="00D66ADA"/>
    <w:rsid w:val="00D72767"/>
    <w:rsid w:val="00D72E81"/>
    <w:rsid w:val="00D75690"/>
    <w:rsid w:val="00D7772A"/>
    <w:rsid w:val="00D800C7"/>
    <w:rsid w:val="00D8029A"/>
    <w:rsid w:val="00D80D5D"/>
    <w:rsid w:val="00D81513"/>
    <w:rsid w:val="00D82131"/>
    <w:rsid w:val="00D82202"/>
    <w:rsid w:val="00D829C0"/>
    <w:rsid w:val="00D82FDB"/>
    <w:rsid w:val="00D83B5A"/>
    <w:rsid w:val="00D86033"/>
    <w:rsid w:val="00D86A24"/>
    <w:rsid w:val="00D9007B"/>
    <w:rsid w:val="00D903C1"/>
    <w:rsid w:val="00D90447"/>
    <w:rsid w:val="00D904AD"/>
    <w:rsid w:val="00D90E14"/>
    <w:rsid w:val="00D91041"/>
    <w:rsid w:val="00D9140C"/>
    <w:rsid w:val="00D91598"/>
    <w:rsid w:val="00D915B2"/>
    <w:rsid w:val="00D91CAA"/>
    <w:rsid w:val="00D938C3"/>
    <w:rsid w:val="00D97853"/>
    <w:rsid w:val="00D97FAA"/>
    <w:rsid w:val="00DA0C36"/>
    <w:rsid w:val="00DA0E85"/>
    <w:rsid w:val="00DA2A66"/>
    <w:rsid w:val="00DA2A98"/>
    <w:rsid w:val="00DA480F"/>
    <w:rsid w:val="00DA5AD6"/>
    <w:rsid w:val="00DA78D0"/>
    <w:rsid w:val="00DB01E2"/>
    <w:rsid w:val="00DB0817"/>
    <w:rsid w:val="00DB189B"/>
    <w:rsid w:val="00DB2282"/>
    <w:rsid w:val="00DB3F5E"/>
    <w:rsid w:val="00DB4B2E"/>
    <w:rsid w:val="00DB4D17"/>
    <w:rsid w:val="00DB7491"/>
    <w:rsid w:val="00DB7EDC"/>
    <w:rsid w:val="00DC0C02"/>
    <w:rsid w:val="00DC104B"/>
    <w:rsid w:val="00DC1A6C"/>
    <w:rsid w:val="00DC2DBB"/>
    <w:rsid w:val="00DC345E"/>
    <w:rsid w:val="00DC3984"/>
    <w:rsid w:val="00DC6BF9"/>
    <w:rsid w:val="00DC7BB8"/>
    <w:rsid w:val="00DC7BD0"/>
    <w:rsid w:val="00DD07AC"/>
    <w:rsid w:val="00DD0BF0"/>
    <w:rsid w:val="00DD16F6"/>
    <w:rsid w:val="00DD1B7D"/>
    <w:rsid w:val="00DD1E73"/>
    <w:rsid w:val="00DD3A79"/>
    <w:rsid w:val="00DD425F"/>
    <w:rsid w:val="00DD4F85"/>
    <w:rsid w:val="00DD5900"/>
    <w:rsid w:val="00DD5A4B"/>
    <w:rsid w:val="00DD67CE"/>
    <w:rsid w:val="00DD6DD8"/>
    <w:rsid w:val="00DD7204"/>
    <w:rsid w:val="00DD7632"/>
    <w:rsid w:val="00DE002B"/>
    <w:rsid w:val="00DE0107"/>
    <w:rsid w:val="00DE09E0"/>
    <w:rsid w:val="00DE0A5F"/>
    <w:rsid w:val="00DE1393"/>
    <w:rsid w:val="00DE1987"/>
    <w:rsid w:val="00DE284D"/>
    <w:rsid w:val="00DE3FBB"/>
    <w:rsid w:val="00DE58A7"/>
    <w:rsid w:val="00DE5C1F"/>
    <w:rsid w:val="00DE5DD6"/>
    <w:rsid w:val="00DE6708"/>
    <w:rsid w:val="00DE6DF0"/>
    <w:rsid w:val="00DF0EEE"/>
    <w:rsid w:val="00DF15C2"/>
    <w:rsid w:val="00DF2CB8"/>
    <w:rsid w:val="00DF3DDD"/>
    <w:rsid w:val="00DF4C15"/>
    <w:rsid w:val="00DF4C77"/>
    <w:rsid w:val="00DF4D53"/>
    <w:rsid w:val="00DF51B4"/>
    <w:rsid w:val="00DF72D0"/>
    <w:rsid w:val="00DF7AC4"/>
    <w:rsid w:val="00E00755"/>
    <w:rsid w:val="00E032BB"/>
    <w:rsid w:val="00E03D02"/>
    <w:rsid w:val="00E04575"/>
    <w:rsid w:val="00E06AB2"/>
    <w:rsid w:val="00E06AD0"/>
    <w:rsid w:val="00E070DF"/>
    <w:rsid w:val="00E073C0"/>
    <w:rsid w:val="00E07B16"/>
    <w:rsid w:val="00E10BD8"/>
    <w:rsid w:val="00E10D5D"/>
    <w:rsid w:val="00E110AB"/>
    <w:rsid w:val="00E11216"/>
    <w:rsid w:val="00E1148B"/>
    <w:rsid w:val="00E120E6"/>
    <w:rsid w:val="00E125E8"/>
    <w:rsid w:val="00E12EE4"/>
    <w:rsid w:val="00E13F93"/>
    <w:rsid w:val="00E14A6C"/>
    <w:rsid w:val="00E15C8C"/>
    <w:rsid w:val="00E15F94"/>
    <w:rsid w:val="00E222D0"/>
    <w:rsid w:val="00E226CB"/>
    <w:rsid w:val="00E22F5C"/>
    <w:rsid w:val="00E23742"/>
    <w:rsid w:val="00E23D5C"/>
    <w:rsid w:val="00E24AEF"/>
    <w:rsid w:val="00E25D12"/>
    <w:rsid w:val="00E2634F"/>
    <w:rsid w:val="00E274E9"/>
    <w:rsid w:val="00E27E93"/>
    <w:rsid w:val="00E3229E"/>
    <w:rsid w:val="00E35825"/>
    <w:rsid w:val="00E369D2"/>
    <w:rsid w:val="00E373BA"/>
    <w:rsid w:val="00E401B2"/>
    <w:rsid w:val="00E40331"/>
    <w:rsid w:val="00E4102A"/>
    <w:rsid w:val="00E414F2"/>
    <w:rsid w:val="00E41B5E"/>
    <w:rsid w:val="00E42CAC"/>
    <w:rsid w:val="00E42D64"/>
    <w:rsid w:val="00E447AC"/>
    <w:rsid w:val="00E45483"/>
    <w:rsid w:val="00E470ED"/>
    <w:rsid w:val="00E47731"/>
    <w:rsid w:val="00E53228"/>
    <w:rsid w:val="00E53E33"/>
    <w:rsid w:val="00E55BFB"/>
    <w:rsid w:val="00E565A5"/>
    <w:rsid w:val="00E5663E"/>
    <w:rsid w:val="00E56BA5"/>
    <w:rsid w:val="00E5774D"/>
    <w:rsid w:val="00E57A10"/>
    <w:rsid w:val="00E60C4D"/>
    <w:rsid w:val="00E61381"/>
    <w:rsid w:val="00E62049"/>
    <w:rsid w:val="00E641FD"/>
    <w:rsid w:val="00E656EA"/>
    <w:rsid w:val="00E65BF0"/>
    <w:rsid w:val="00E65DB0"/>
    <w:rsid w:val="00E66C63"/>
    <w:rsid w:val="00E67E89"/>
    <w:rsid w:val="00E70D35"/>
    <w:rsid w:val="00E713FE"/>
    <w:rsid w:val="00E71C97"/>
    <w:rsid w:val="00E73161"/>
    <w:rsid w:val="00E735B5"/>
    <w:rsid w:val="00E73B22"/>
    <w:rsid w:val="00E745A6"/>
    <w:rsid w:val="00E74702"/>
    <w:rsid w:val="00E74C80"/>
    <w:rsid w:val="00E8021F"/>
    <w:rsid w:val="00E837D2"/>
    <w:rsid w:val="00E8685F"/>
    <w:rsid w:val="00E86AB2"/>
    <w:rsid w:val="00E871FE"/>
    <w:rsid w:val="00E91E89"/>
    <w:rsid w:val="00E91EB5"/>
    <w:rsid w:val="00E9272D"/>
    <w:rsid w:val="00E92967"/>
    <w:rsid w:val="00E93383"/>
    <w:rsid w:val="00E93A33"/>
    <w:rsid w:val="00E9430E"/>
    <w:rsid w:val="00EA01F0"/>
    <w:rsid w:val="00EA14C2"/>
    <w:rsid w:val="00EA3457"/>
    <w:rsid w:val="00EA50E0"/>
    <w:rsid w:val="00EA50E8"/>
    <w:rsid w:val="00EA548D"/>
    <w:rsid w:val="00EA735B"/>
    <w:rsid w:val="00EA7CCE"/>
    <w:rsid w:val="00EB2969"/>
    <w:rsid w:val="00EB29C4"/>
    <w:rsid w:val="00EB2A23"/>
    <w:rsid w:val="00EB3315"/>
    <w:rsid w:val="00EB394F"/>
    <w:rsid w:val="00EB3962"/>
    <w:rsid w:val="00EB3997"/>
    <w:rsid w:val="00EB3DD5"/>
    <w:rsid w:val="00EB447D"/>
    <w:rsid w:val="00EB6CA4"/>
    <w:rsid w:val="00EC0A34"/>
    <w:rsid w:val="00EC1339"/>
    <w:rsid w:val="00EC15D1"/>
    <w:rsid w:val="00EC3717"/>
    <w:rsid w:val="00EC399B"/>
    <w:rsid w:val="00EC3E7E"/>
    <w:rsid w:val="00EC5297"/>
    <w:rsid w:val="00EC6DFF"/>
    <w:rsid w:val="00EC736C"/>
    <w:rsid w:val="00EC7B06"/>
    <w:rsid w:val="00ED071F"/>
    <w:rsid w:val="00ED174F"/>
    <w:rsid w:val="00ED36EA"/>
    <w:rsid w:val="00ED374B"/>
    <w:rsid w:val="00ED4A27"/>
    <w:rsid w:val="00ED4E6E"/>
    <w:rsid w:val="00ED7746"/>
    <w:rsid w:val="00ED7E6F"/>
    <w:rsid w:val="00EE15B1"/>
    <w:rsid w:val="00EE3DC0"/>
    <w:rsid w:val="00EE4A8E"/>
    <w:rsid w:val="00EE5004"/>
    <w:rsid w:val="00EE6EFD"/>
    <w:rsid w:val="00EE70DD"/>
    <w:rsid w:val="00EE7E8F"/>
    <w:rsid w:val="00EF26DB"/>
    <w:rsid w:val="00EF3020"/>
    <w:rsid w:val="00EF32B6"/>
    <w:rsid w:val="00EF3395"/>
    <w:rsid w:val="00EF473B"/>
    <w:rsid w:val="00EF499D"/>
    <w:rsid w:val="00EF6AD2"/>
    <w:rsid w:val="00EF6C24"/>
    <w:rsid w:val="00EF7415"/>
    <w:rsid w:val="00EF7B49"/>
    <w:rsid w:val="00EF7E8A"/>
    <w:rsid w:val="00F002DC"/>
    <w:rsid w:val="00F010F3"/>
    <w:rsid w:val="00F01C3D"/>
    <w:rsid w:val="00F03CB3"/>
    <w:rsid w:val="00F0490D"/>
    <w:rsid w:val="00F04C9E"/>
    <w:rsid w:val="00F04CD8"/>
    <w:rsid w:val="00F078D8"/>
    <w:rsid w:val="00F10424"/>
    <w:rsid w:val="00F10504"/>
    <w:rsid w:val="00F105F6"/>
    <w:rsid w:val="00F1065B"/>
    <w:rsid w:val="00F1109F"/>
    <w:rsid w:val="00F128D0"/>
    <w:rsid w:val="00F12D30"/>
    <w:rsid w:val="00F13B0F"/>
    <w:rsid w:val="00F13DC5"/>
    <w:rsid w:val="00F14477"/>
    <w:rsid w:val="00F144B9"/>
    <w:rsid w:val="00F1519F"/>
    <w:rsid w:val="00F159F8"/>
    <w:rsid w:val="00F17879"/>
    <w:rsid w:val="00F20210"/>
    <w:rsid w:val="00F214A0"/>
    <w:rsid w:val="00F23B5B"/>
    <w:rsid w:val="00F24165"/>
    <w:rsid w:val="00F244B7"/>
    <w:rsid w:val="00F253B9"/>
    <w:rsid w:val="00F3061C"/>
    <w:rsid w:val="00F30A48"/>
    <w:rsid w:val="00F31F37"/>
    <w:rsid w:val="00F31FF4"/>
    <w:rsid w:val="00F32EDD"/>
    <w:rsid w:val="00F334D0"/>
    <w:rsid w:val="00F33C63"/>
    <w:rsid w:val="00F345B9"/>
    <w:rsid w:val="00F34E97"/>
    <w:rsid w:val="00F34EE1"/>
    <w:rsid w:val="00F34F5E"/>
    <w:rsid w:val="00F36062"/>
    <w:rsid w:val="00F37528"/>
    <w:rsid w:val="00F37FBC"/>
    <w:rsid w:val="00F37FED"/>
    <w:rsid w:val="00F40BFD"/>
    <w:rsid w:val="00F40D5F"/>
    <w:rsid w:val="00F41EE6"/>
    <w:rsid w:val="00F42B16"/>
    <w:rsid w:val="00F42E5B"/>
    <w:rsid w:val="00F44227"/>
    <w:rsid w:val="00F44A22"/>
    <w:rsid w:val="00F45E9B"/>
    <w:rsid w:val="00F46FBB"/>
    <w:rsid w:val="00F47A86"/>
    <w:rsid w:val="00F5007F"/>
    <w:rsid w:val="00F52E9C"/>
    <w:rsid w:val="00F53F27"/>
    <w:rsid w:val="00F5423D"/>
    <w:rsid w:val="00F5472C"/>
    <w:rsid w:val="00F547A8"/>
    <w:rsid w:val="00F5622B"/>
    <w:rsid w:val="00F57505"/>
    <w:rsid w:val="00F57CDA"/>
    <w:rsid w:val="00F60627"/>
    <w:rsid w:val="00F6085F"/>
    <w:rsid w:val="00F62299"/>
    <w:rsid w:val="00F62625"/>
    <w:rsid w:val="00F6640A"/>
    <w:rsid w:val="00F66FA7"/>
    <w:rsid w:val="00F677A3"/>
    <w:rsid w:val="00F7079F"/>
    <w:rsid w:val="00F71BB6"/>
    <w:rsid w:val="00F7347C"/>
    <w:rsid w:val="00F73FD3"/>
    <w:rsid w:val="00F7459A"/>
    <w:rsid w:val="00F762A0"/>
    <w:rsid w:val="00F77485"/>
    <w:rsid w:val="00F77E36"/>
    <w:rsid w:val="00F80062"/>
    <w:rsid w:val="00F8037A"/>
    <w:rsid w:val="00F823D7"/>
    <w:rsid w:val="00F823F3"/>
    <w:rsid w:val="00F8246E"/>
    <w:rsid w:val="00F82792"/>
    <w:rsid w:val="00F832E1"/>
    <w:rsid w:val="00F84160"/>
    <w:rsid w:val="00F86E06"/>
    <w:rsid w:val="00F86E80"/>
    <w:rsid w:val="00F8734D"/>
    <w:rsid w:val="00F90203"/>
    <w:rsid w:val="00F9053B"/>
    <w:rsid w:val="00F91076"/>
    <w:rsid w:val="00F91324"/>
    <w:rsid w:val="00F9136A"/>
    <w:rsid w:val="00F922DC"/>
    <w:rsid w:val="00F935DB"/>
    <w:rsid w:val="00F9360E"/>
    <w:rsid w:val="00F93F15"/>
    <w:rsid w:val="00F95346"/>
    <w:rsid w:val="00F96E64"/>
    <w:rsid w:val="00F96E89"/>
    <w:rsid w:val="00FA1499"/>
    <w:rsid w:val="00FA1897"/>
    <w:rsid w:val="00FA5265"/>
    <w:rsid w:val="00FA5453"/>
    <w:rsid w:val="00FA57B7"/>
    <w:rsid w:val="00FA6A67"/>
    <w:rsid w:val="00FA6A94"/>
    <w:rsid w:val="00FA7DE6"/>
    <w:rsid w:val="00FB0238"/>
    <w:rsid w:val="00FB04E1"/>
    <w:rsid w:val="00FB17B1"/>
    <w:rsid w:val="00FB1D43"/>
    <w:rsid w:val="00FB3240"/>
    <w:rsid w:val="00FB4B2C"/>
    <w:rsid w:val="00FB5ACA"/>
    <w:rsid w:val="00FB62DD"/>
    <w:rsid w:val="00FB691B"/>
    <w:rsid w:val="00FB6BFA"/>
    <w:rsid w:val="00FB6FF1"/>
    <w:rsid w:val="00FC0FC0"/>
    <w:rsid w:val="00FC19F0"/>
    <w:rsid w:val="00FC207C"/>
    <w:rsid w:val="00FC29B5"/>
    <w:rsid w:val="00FC3FAA"/>
    <w:rsid w:val="00FC546C"/>
    <w:rsid w:val="00FC5850"/>
    <w:rsid w:val="00FC6CDD"/>
    <w:rsid w:val="00FC7583"/>
    <w:rsid w:val="00FD001E"/>
    <w:rsid w:val="00FD0C01"/>
    <w:rsid w:val="00FD19D7"/>
    <w:rsid w:val="00FD201D"/>
    <w:rsid w:val="00FD39DB"/>
    <w:rsid w:val="00FD3D72"/>
    <w:rsid w:val="00FD4019"/>
    <w:rsid w:val="00FD481A"/>
    <w:rsid w:val="00FD6B43"/>
    <w:rsid w:val="00FD71E8"/>
    <w:rsid w:val="00FE012A"/>
    <w:rsid w:val="00FE107D"/>
    <w:rsid w:val="00FE13B8"/>
    <w:rsid w:val="00FE1C31"/>
    <w:rsid w:val="00FE2CA8"/>
    <w:rsid w:val="00FE2E63"/>
    <w:rsid w:val="00FE5D50"/>
    <w:rsid w:val="00FF034E"/>
    <w:rsid w:val="00FF081C"/>
    <w:rsid w:val="00FF0ED1"/>
    <w:rsid w:val="00FF16C2"/>
    <w:rsid w:val="00FF4443"/>
    <w:rsid w:val="00FF5059"/>
    <w:rsid w:val="00FF57E5"/>
    <w:rsid w:val="00FF5E0F"/>
    <w:rsid w:val="00FF71C1"/>
    <w:rsid w:val="00FF79DF"/>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5A109C16-CF73-49E4-9707-646A1467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4D"/>
    <w:rPr>
      <w:rFonts w:ascii="Danske Text" w:hAnsi="Danske Text"/>
      <w:sz w:val="18"/>
      <w:szCs w:val="24"/>
      <w:lang w:val="en-GB" w:eastAsia="en-GB"/>
    </w:rPr>
  </w:style>
  <w:style w:type="paragraph" w:styleId="Heading1">
    <w:name w:val="heading 1"/>
    <w:basedOn w:val="Normal"/>
    <w:next w:val="Normal"/>
    <w:qFormat/>
    <w:rsid w:val="00056995"/>
    <w:pPr>
      <w:keepNext/>
      <w:spacing w:before="240" w:after="60"/>
      <w:outlineLvl w:val="0"/>
    </w:pPr>
    <w:rPr>
      <w:rFonts w:cs="Arial"/>
      <w:b/>
      <w:bCs/>
      <w:kern w:val="32"/>
      <w:sz w:val="32"/>
      <w:szCs w:val="32"/>
    </w:rPr>
  </w:style>
  <w:style w:type="paragraph" w:styleId="Heading2">
    <w:name w:val="heading 2"/>
    <w:basedOn w:val="Normal"/>
    <w:next w:val="Normal"/>
    <w:qFormat/>
    <w:rsid w:val="00056995"/>
    <w:pPr>
      <w:keepNext/>
      <w:spacing w:before="240" w:after="60"/>
      <w:outlineLvl w:val="1"/>
    </w:pPr>
    <w:rPr>
      <w:rFonts w:cs="Arial"/>
      <w:b/>
      <w:bCs/>
      <w:i/>
      <w:iCs/>
      <w:sz w:val="28"/>
      <w:szCs w:val="28"/>
    </w:rPr>
  </w:style>
  <w:style w:type="paragraph" w:styleId="Heading3">
    <w:name w:val="heading 3"/>
    <w:basedOn w:val="Normal"/>
    <w:next w:val="Normal"/>
    <w:qFormat/>
    <w:rsid w:val="0005699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___Normal"/>
    <w:link w:val="NormalChar"/>
    <w:semiHidden/>
    <w:rsid w:val="00CD14FE"/>
    <w:rPr>
      <w:rFonts w:ascii="Danske Text" w:hAnsi="Danske Text"/>
      <w:sz w:val="18"/>
      <w:szCs w:val="18"/>
      <w:lang w:val="en-GB" w:eastAsia="en-GB"/>
    </w:rPr>
  </w:style>
  <w:style w:type="character" w:customStyle="1" w:styleId="NormalChar">
    <w:name w:val="___Normal Char"/>
    <w:basedOn w:val="DefaultParagraphFont"/>
    <w:link w:val="Normal0"/>
    <w:rsid w:val="00CD14FE"/>
    <w:rPr>
      <w:rFonts w:ascii="Danske Text" w:hAnsi="Danske Text"/>
      <w:sz w:val="18"/>
      <w:szCs w:val="18"/>
      <w:lang w:val="en-GB" w:eastAsia="en-GB" w:bidi="ar-SA"/>
    </w:rPr>
  </w:style>
  <w:style w:type="paragraph" w:customStyle="1" w:styleId="NormalBlue">
    <w:name w:val="___NormalBlue"/>
    <w:basedOn w:val="Normal0"/>
    <w:link w:val="NormalBlueChar"/>
    <w:semiHidden/>
    <w:rsid w:val="00056995"/>
    <w:rPr>
      <w:rFonts w:ascii="Danske Headline" w:hAnsi="Danske Headline"/>
      <w:color w:val="002E62"/>
    </w:rPr>
  </w:style>
  <w:style w:type="character" w:customStyle="1" w:styleId="NormalBlueChar">
    <w:name w:val="___NormalBlue Char"/>
    <w:basedOn w:val="NormalChar"/>
    <w:link w:val="NormalBlue"/>
    <w:rsid w:val="00056995"/>
    <w:rPr>
      <w:rFonts w:ascii="Danske Headline" w:hAnsi="Danske Headline"/>
      <w:color w:val="002E62"/>
      <w:sz w:val="18"/>
      <w:szCs w:val="18"/>
      <w:lang w:val="en-GB" w:eastAsia="en-GB" w:bidi="ar-SA"/>
    </w:rPr>
  </w:style>
  <w:style w:type="paragraph" w:customStyle="1" w:styleId="TemplateInfo">
    <w:name w:val="___TemplateInfo"/>
    <w:basedOn w:val="Normal0"/>
    <w:semiHidden/>
    <w:rsid w:val="00056995"/>
    <w:rPr>
      <w:color w:val="FF0000"/>
      <w:sz w:val="16"/>
      <w:szCs w:val="16"/>
    </w:rPr>
  </w:style>
  <w:style w:type="paragraph" w:customStyle="1" w:styleId="Warning">
    <w:name w:val="___Warning"/>
    <w:basedOn w:val="Normal0"/>
    <w:next w:val="Normal"/>
    <w:semiHidden/>
    <w:rsid w:val="00056995"/>
    <w:rPr>
      <w:vanish/>
      <w:color w:val="FF0000"/>
    </w:rPr>
  </w:style>
  <w:style w:type="paragraph" w:customStyle="1" w:styleId="1pt">
    <w:name w:val="__1pt"/>
    <w:basedOn w:val="Normal0"/>
    <w:semiHidden/>
    <w:rsid w:val="00056995"/>
    <w:pPr>
      <w:spacing w:line="20" w:lineRule="exact"/>
    </w:pPr>
  </w:style>
  <w:style w:type="paragraph" w:customStyle="1" w:styleId="1pthidden">
    <w:name w:val="__1pt hidden"/>
    <w:basedOn w:val="1pt"/>
    <w:semiHidden/>
    <w:rsid w:val="00056995"/>
    <w:rPr>
      <w:vanish/>
    </w:rPr>
  </w:style>
  <w:style w:type="paragraph" w:customStyle="1" w:styleId="baseBlueHeading">
    <w:name w:val="__base Blue Heading"/>
    <w:basedOn w:val="NormalBlue"/>
    <w:link w:val="baseBlueHeadingChar"/>
    <w:semiHidden/>
    <w:rsid w:val="00056995"/>
    <w:pPr>
      <w:keepNext/>
    </w:pPr>
    <w:rPr>
      <w:b/>
    </w:rPr>
  </w:style>
  <w:style w:type="character" w:customStyle="1" w:styleId="baseBlueHeadingChar">
    <w:name w:val="__base Blue Heading Char"/>
    <w:basedOn w:val="NormalBlueChar"/>
    <w:link w:val="baseBlueHeading"/>
    <w:rsid w:val="00056995"/>
    <w:rPr>
      <w:rFonts w:ascii="Danske Headline" w:hAnsi="Danske Headline"/>
      <w:b/>
      <w:color w:val="002E62"/>
      <w:sz w:val="18"/>
      <w:szCs w:val="18"/>
      <w:lang w:val="en-GB" w:eastAsia="en-GB" w:bidi="ar-SA"/>
    </w:rPr>
  </w:style>
  <w:style w:type="paragraph" w:customStyle="1" w:styleId="baseBodytext">
    <w:name w:val="__base Body text"/>
    <w:basedOn w:val="Normal0"/>
    <w:semiHidden/>
    <w:rsid w:val="007F3CED"/>
    <w:pPr>
      <w:spacing w:after="120" w:line="270" w:lineRule="atLeast"/>
      <w:jc w:val="both"/>
    </w:pPr>
    <w:rPr>
      <w:rFonts w:ascii="Times New Roman" w:hAnsi="Times New Roman"/>
      <w:sz w:val="19"/>
    </w:rPr>
  </w:style>
  <w:style w:type="paragraph" w:customStyle="1" w:styleId="baseTable">
    <w:name w:val="__base Table"/>
    <w:basedOn w:val="Normal0"/>
    <w:semiHidden/>
    <w:rsid w:val="005F7229"/>
    <w:pPr>
      <w:spacing w:line="240" w:lineRule="atLeast"/>
      <w:ind w:left="57" w:right="57"/>
    </w:pPr>
    <w:rPr>
      <w:sz w:val="16"/>
    </w:rPr>
  </w:style>
  <w:style w:type="paragraph" w:customStyle="1" w:styleId="baseContactstable">
    <w:name w:val="__base Contacts table"/>
    <w:basedOn w:val="baseTable"/>
    <w:semiHidden/>
    <w:rsid w:val="00056995"/>
  </w:style>
  <w:style w:type="paragraph" w:customStyle="1" w:styleId="baseFPanchored">
    <w:name w:val="__base FP anchored"/>
    <w:basedOn w:val="Normal0"/>
    <w:link w:val="baseFPanchoredChar"/>
    <w:semiHidden/>
    <w:rsid w:val="00056995"/>
    <w:pPr>
      <w:framePr w:w="10433" w:wrap="around" w:vAnchor="page" w:hAnchor="page" w:x="738" w:yAlign="bottom"/>
      <w:spacing w:line="180" w:lineRule="atLeast"/>
    </w:pPr>
  </w:style>
  <w:style w:type="paragraph" w:customStyle="1" w:styleId="baseFPheading">
    <w:name w:val="__base FP heading"/>
    <w:basedOn w:val="NormalBlue"/>
    <w:semiHidden/>
    <w:rsid w:val="00056995"/>
    <w:pPr>
      <w:keepNext/>
      <w:framePr w:w="10490" w:wrap="around" w:vAnchor="page" w:hAnchor="page" w:x="738" w:y="1929"/>
    </w:pPr>
    <w:rPr>
      <w:b/>
    </w:rPr>
  </w:style>
  <w:style w:type="paragraph" w:customStyle="1" w:styleId="baseHeading">
    <w:name w:val="__base Heading"/>
    <w:basedOn w:val="Normal0"/>
    <w:semiHidden/>
    <w:rsid w:val="00056995"/>
    <w:pPr>
      <w:keepNext/>
      <w:spacing w:line="280" w:lineRule="atLeast"/>
    </w:pPr>
  </w:style>
  <w:style w:type="paragraph" w:customStyle="1" w:styleId="baseInternalanchored">
    <w:name w:val="__base Internal anchored"/>
    <w:basedOn w:val="baseFPanchored"/>
    <w:semiHidden/>
    <w:rsid w:val="00056995"/>
    <w:pPr>
      <w:framePr w:wrap="around"/>
    </w:pPr>
  </w:style>
  <w:style w:type="paragraph" w:customStyle="1" w:styleId="baseMargintable">
    <w:name w:val="__base Margin table"/>
    <w:basedOn w:val="Normal0"/>
    <w:link w:val="baseMargintableCharChar"/>
    <w:semiHidden/>
    <w:rsid w:val="00103DD8"/>
    <w:pPr>
      <w:framePr w:w="3232" w:wrap="around" w:vAnchor="text" w:hAnchor="page" w:x="7996" w:y="1"/>
      <w:spacing w:line="240" w:lineRule="atLeast"/>
      <w:ind w:left="57" w:right="57"/>
    </w:pPr>
  </w:style>
  <w:style w:type="paragraph" w:customStyle="1" w:styleId="baseMargindataheading">
    <w:name w:val="__base Margin data heading"/>
    <w:basedOn w:val="baseMargintable"/>
    <w:semiHidden/>
    <w:rsid w:val="00056995"/>
    <w:pPr>
      <w:framePr w:wrap="around"/>
    </w:pPr>
    <w:rPr>
      <w:b/>
    </w:rPr>
  </w:style>
  <w:style w:type="paragraph" w:customStyle="1" w:styleId="baseMargindatatext">
    <w:name w:val="__base Margin data text"/>
    <w:basedOn w:val="baseMargintable"/>
    <w:semiHidden/>
    <w:rsid w:val="00056995"/>
    <w:pPr>
      <w:framePr w:wrap="around"/>
      <w:spacing w:line="180" w:lineRule="atLeast"/>
    </w:pPr>
    <w:rPr>
      <w:sz w:val="15"/>
    </w:rPr>
  </w:style>
  <w:style w:type="character" w:customStyle="1" w:styleId="baseMargintableCharChar">
    <w:name w:val="__base Margin table Char Char"/>
    <w:basedOn w:val="NormalChar"/>
    <w:link w:val="baseMargintable"/>
    <w:rsid w:val="00103DD8"/>
    <w:rPr>
      <w:rFonts w:ascii="Danske Text" w:hAnsi="Danske Text"/>
      <w:sz w:val="18"/>
      <w:szCs w:val="18"/>
      <w:lang w:val="en-GB" w:eastAsia="en-GB" w:bidi="ar-SA"/>
    </w:rPr>
  </w:style>
  <w:style w:type="paragraph" w:customStyle="1" w:styleId="baseMargintext">
    <w:name w:val="__base Margin text"/>
    <w:basedOn w:val="baseMargintable"/>
    <w:link w:val="baseMargintextChar"/>
    <w:semiHidden/>
    <w:rsid w:val="00103DD8"/>
    <w:pPr>
      <w:framePr w:wrap="around"/>
    </w:pPr>
  </w:style>
  <w:style w:type="paragraph" w:customStyle="1" w:styleId="baseTableheading">
    <w:name w:val="__base Table heading"/>
    <w:basedOn w:val="baseTable"/>
    <w:semiHidden/>
    <w:rsid w:val="00C12C79"/>
    <w:pPr>
      <w:keepNext/>
    </w:pPr>
    <w:rPr>
      <w:b/>
      <w:szCs w:val="16"/>
    </w:rPr>
  </w:style>
  <w:style w:type="paragraph" w:customStyle="1" w:styleId="baseTabletext">
    <w:name w:val="__base Table text"/>
    <w:basedOn w:val="baseTable"/>
    <w:semiHidden/>
    <w:rsid w:val="00056995"/>
  </w:style>
  <w:style w:type="paragraph" w:customStyle="1" w:styleId="baseTOC">
    <w:name w:val="__base TOC"/>
    <w:basedOn w:val="Normal0"/>
    <w:semiHidden/>
    <w:rsid w:val="00056995"/>
    <w:pPr>
      <w:spacing w:after="220" w:line="280" w:lineRule="atLeast"/>
    </w:pPr>
  </w:style>
  <w:style w:type="paragraph" w:customStyle="1" w:styleId="ELEMENTBottomAnchoredFrame">
    <w:name w:val="__ELEMENT BottomAnchoredFrame"/>
    <w:basedOn w:val="1pthidden"/>
    <w:semiHidden/>
    <w:rsid w:val="00056995"/>
  </w:style>
  <w:style w:type="paragraph" w:customStyle="1" w:styleId="ELEMENTContributorsFrame">
    <w:name w:val="__ELEMENT ContributorsFrame"/>
    <w:basedOn w:val="1pthidden"/>
    <w:semiHidden/>
    <w:rsid w:val="00056995"/>
  </w:style>
  <w:style w:type="paragraph" w:customStyle="1" w:styleId="ELEMENTMarginFrame">
    <w:name w:val="__ELEMENT MarginFrame"/>
    <w:basedOn w:val="1pthidden"/>
    <w:semiHidden/>
    <w:rsid w:val="00056995"/>
  </w:style>
  <w:style w:type="paragraph" w:customStyle="1" w:styleId="FooterText">
    <w:name w:val="__Footer Text"/>
    <w:basedOn w:val="Normal"/>
    <w:semiHidden/>
    <w:rsid w:val="00056995"/>
    <w:pPr>
      <w:tabs>
        <w:tab w:val="right" w:pos="10036"/>
      </w:tabs>
      <w:jc w:val="center"/>
    </w:pPr>
    <w:rPr>
      <w:rFonts w:ascii="Arial" w:hAnsi="Arial"/>
      <w:b/>
      <w:noProof/>
      <w:color w:val="FFFFFF"/>
      <w:sz w:val="20"/>
      <w:szCs w:val="18"/>
    </w:rPr>
  </w:style>
  <w:style w:type="paragraph" w:customStyle="1" w:styleId="Header">
    <w:name w:val="_Header"/>
    <w:basedOn w:val="Normal0"/>
    <w:rsid w:val="00056995"/>
  </w:style>
  <w:style w:type="paragraph" w:customStyle="1" w:styleId="FPLogo">
    <w:name w:val="__FP Logo"/>
    <w:basedOn w:val="Header"/>
    <w:semiHidden/>
    <w:rsid w:val="00056995"/>
    <w:pPr>
      <w:framePr w:wrap="around" w:vAnchor="page" w:hAnchor="page" w:x="1" w:y="1"/>
      <w:spacing w:before="310"/>
      <w:suppressOverlap/>
      <w:jc w:val="right"/>
    </w:pPr>
  </w:style>
  <w:style w:type="paragraph" w:customStyle="1" w:styleId="LandscapeFooter">
    <w:name w:val="__Landscape Footer"/>
    <w:basedOn w:val="Normal0"/>
    <w:semiHidden/>
    <w:rsid w:val="00056995"/>
  </w:style>
  <w:style w:type="paragraph" w:customStyle="1" w:styleId="WebLinkLandscape">
    <w:name w:val="__Web Link Landscape"/>
    <w:basedOn w:val="Footer"/>
    <w:semiHidden/>
    <w:rsid w:val="00056995"/>
    <w:pPr>
      <w:framePr w:w="0" w:h="11170" w:hRule="exact" w:wrap="around" w:x="1" w:y="738" w:anchorLock="1"/>
      <w:spacing w:before="110" w:after="0" w:line="240" w:lineRule="auto"/>
    </w:pPr>
    <w:rPr>
      <w:color w:val="FFFFFF"/>
      <w:spacing w:val="9"/>
      <w:position w:val="-4"/>
      <w:sz w:val="18"/>
      <w:szCs w:val="18"/>
    </w:rPr>
  </w:style>
  <w:style w:type="paragraph" w:customStyle="1" w:styleId="SECTIONContacts">
    <w:name w:val="__SECTION Contacts"/>
    <w:basedOn w:val="1pt"/>
    <w:semiHidden/>
    <w:rsid w:val="00056995"/>
    <w:pPr>
      <w:pageBreakBefore/>
    </w:pPr>
  </w:style>
  <w:style w:type="paragraph" w:customStyle="1" w:styleId="SECTIONDisclaimer">
    <w:name w:val="__SECTION Disclaimer"/>
    <w:basedOn w:val="1pt"/>
    <w:semiHidden/>
    <w:rsid w:val="00056995"/>
    <w:pPr>
      <w:pageBreakBefore/>
    </w:pPr>
  </w:style>
  <w:style w:type="paragraph" w:customStyle="1" w:styleId="SECTIONFrontPage">
    <w:name w:val="__SECTION FrontPage"/>
    <w:basedOn w:val="1pt"/>
    <w:semiHidden/>
    <w:rsid w:val="00056995"/>
  </w:style>
  <w:style w:type="paragraph" w:customStyle="1" w:styleId="SECTIONTOC">
    <w:name w:val="__SECTION TOC"/>
    <w:basedOn w:val="1pt"/>
    <w:next w:val="TOCheading"/>
    <w:semiHidden/>
    <w:rsid w:val="00056995"/>
  </w:style>
  <w:style w:type="paragraph" w:customStyle="1" w:styleId="Tableholder">
    <w:name w:val="_Table holder"/>
    <w:basedOn w:val="baseTable"/>
    <w:rsid w:val="00710B5E"/>
    <w:pPr>
      <w:keepNext/>
      <w:ind w:left="0" w:right="0"/>
      <w:jc w:val="center"/>
    </w:pPr>
    <w:rPr>
      <w:szCs w:val="16"/>
      <w:lang w:eastAsia="en-US"/>
    </w:rPr>
  </w:style>
  <w:style w:type="paragraph" w:customStyle="1" w:styleId="AnalystName">
    <w:name w:val="_AnalystName"/>
    <w:basedOn w:val="baseFPanchored"/>
    <w:next w:val="AnalystTelephone"/>
    <w:rsid w:val="00056995"/>
    <w:pPr>
      <w:framePr w:wrap="around"/>
    </w:pPr>
    <w:rPr>
      <w:sz w:val="15"/>
      <w:szCs w:val="15"/>
    </w:rPr>
  </w:style>
  <w:style w:type="paragraph" w:customStyle="1" w:styleId="AnalystTitle">
    <w:name w:val="_AnalystTitle"/>
    <w:basedOn w:val="baseFPanchored"/>
    <w:next w:val="AnalystName"/>
    <w:rsid w:val="00056995"/>
    <w:pPr>
      <w:framePr w:w="2552" w:wrap="around" w:x="9073"/>
      <w:spacing w:before="160"/>
    </w:pPr>
    <w:rPr>
      <w:b/>
      <w:i/>
      <w:sz w:val="15"/>
    </w:rPr>
  </w:style>
  <w:style w:type="paragraph" w:customStyle="1" w:styleId="BannerText">
    <w:name w:val="_BannerText"/>
    <w:basedOn w:val="NormalBlue"/>
    <w:semiHidden/>
    <w:rsid w:val="00C67C81"/>
    <w:pPr>
      <w:spacing w:before="20"/>
      <w:ind w:left="737"/>
    </w:pPr>
    <w:rPr>
      <w:sz w:val="15"/>
      <w:szCs w:val="15"/>
    </w:rPr>
  </w:style>
  <w:style w:type="paragraph" w:customStyle="1" w:styleId="BodyText">
    <w:name w:val="_Body Text"/>
    <w:basedOn w:val="baseBodytext"/>
    <w:rsid w:val="00056995"/>
  </w:style>
  <w:style w:type="paragraph" w:customStyle="1" w:styleId="BodyTextIndent">
    <w:name w:val="_Body Text Indent"/>
    <w:basedOn w:val="baseBodytext"/>
    <w:rsid w:val="00056995"/>
    <w:pPr>
      <w:ind w:left="284"/>
    </w:pPr>
  </w:style>
  <w:style w:type="paragraph" w:customStyle="1" w:styleId="Bullet">
    <w:name w:val="_Bullet"/>
    <w:basedOn w:val="baseBodytext"/>
    <w:rsid w:val="007F58EA"/>
    <w:pPr>
      <w:numPr>
        <w:numId w:val="18"/>
      </w:numPr>
    </w:pPr>
  </w:style>
  <w:style w:type="paragraph" w:customStyle="1" w:styleId="BulletNumbered">
    <w:name w:val="_Bullet Numbered"/>
    <w:basedOn w:val="baseBodytext"/>
    <w:rsid w:val="00E745A6"/>
    <w:pPr>
      <w:numPr>
        <w:numId w:val="23"/>
      </w:numPr>
    </w:pPr>
  </w:style>
  <w:style w:type="paragraph" w:customStyle="1" w:styleId="Contactstableheading">
    <w:name w:val="_Contacts table heading"/>
    <w:basedOn w:val="baseContactstable"/>
    <w:rsid w:val="00056995"/>
    <w:rPr>
      <w:b/>
      <w:sz w:val="24"/>
      <w:szCs w:val="24"/>
    </w:rPr>
  </w:style>
  <w:style w:type="paragraph" w:customStyle="1" w:styleId="Contactstablerowheading">
    <w:name w:val="_Contacts table row heading"/>
    <w:basedOn w:val="baseContactstable"/>
    <w:rsid w:val="00056995"/>
    <w:pPr>
      <w:spacing w:after="40"/>
    </w:pPr>
    <w:rPr>
      <w:b/>
      <w:sz w:val="18"/>
    </w:rPr>
  </w:style>
  <w:style w:type="paragraph" w:customStyle="1" w:styleId="Contactstabletext">
    <w:name w:val="_Contacts table text"/>
    <w:basedOn w:val="baseContactstable"/>
    <w:rsid w:val="00056995"/>
    <w:pPr>
      <w:spacing w:after="40"/>
    </w:pPr>
    <w:rPr>
      <w:b/>
      <w:sz w:val="15"/>
      <w:szCs w:val="15"/>
    </w:rPr>
  </w:style>
  <w:style w:type="paragraph" w:customStyle="1" w:styleId="Date">
    <w:name w:val="_Date"/>
    <w:basedOn w:val="NormalBlue"/>
    <w:link w:val="DateChar"/>
    <w:rsid w:val="00056995"/>
    <w:pPr>
      <w:framePr w:wrap="around" w:vAnchor="text" w:hAnchor="page" w:x="1" w:y="1"/>
      <w:suppressOverlap/>
    </w:pPr>
  </w:style>
  <w:style w:type="character" w:customStyle="1" w:styleId="DateChar">
    <w:name w:val="_Date Char"/>
    <w:basedOn w:val="NormalBlueChar"/>
    <w:link w:val="Date"/>
    <w:rsid w:val="00056995"/>
    <w:rPr>
      <w:rFonts w:ascii="Danske Headline" w:hAnsi="Danske Headline"/>
      <w:color w:val="002E62"/>
      <w:sz w:val="18"/>
      <w:szCs w:val="18"/>
      <w:lang w:val="en-GB" w:eastAsia="en-GB" w:bidi="ar-SA"/>
    </w:rPr>
  </w:style>
  <w:style w:type="paragraph" w:customStyle="1" w:styleId="Disclaimerheading1">
    <w:name w:val="_Disclaimer heading 1"/>
    <w:basedOn w:val="baseBlueHeading"/>
    <w:rsid w:val="00056995"/>
    <w:rPr>
      <w:b w:val="0"/>
      <w:sz w:val="24"/>
      <w:szCs w:val="24"/>
    </w:rPr>
  </w:style>
  <w:style w:type="paragraph" w:customStyle="1" w:styleId="Disclaimerheading2">
    <w:name w:val="_Disclaimer heading 2"/>
    <w:basedOn w:val="baseHeading"/>
    <w:rsid w:val="00056995"/>
    <w:pPr>
      <w:spacing w:line="220" w:lineRule="atLeast"/>
    </w:pPr>
    <w:rPr>
      <w:b/>
      <w:sz w:val="15"/>
      <w:szCs w:val="15"/>
    </w:rPr>
  </w:style>
  <w:style w:type="paragraph" w:customStyle="1" w:styleId="Disclaimertext">
    <w:name w:val="_Disclaimer text"/>
    <w:basedOn w:val="baseBodytext"/>
    <w:rsid w:val="004C495E"/>
    <w:pPr>
      <w:spacing w:line="240" w:lineRule="atLeast"/>
    </w:pPr>
    <w:rPr>
      <w:sz w:val="15"/>
      <w:szCs w:val="15"/>
    </w:rPr>
  </w:style>
  <w:style w:type="paragraph" w:customStyle="1" w:styleId="Footer">
    <w:name w:val="_Footer"/>
    <w:basedOn w:val="baseInternalanchored"/>
    <w:rsid w:val="00056995"/>
    <w:pPr>
      <w:framePr w:wrap="around"/>
      <w:spacing w:after="40"/>
    </w:pPr>
    <w:rPr>
      <w:color w:val="002C5A"/>
      <w:sz w:val="15"/>
      <w:szCs w:val="15"/>
    </w:rPr>
  </w:style>
  <w:style w:type="paragraph" w:customStyle="1" w:styleId="FPSubtitle">
    <w:name w:val="_FP Subtitle"/>
    <w:basedOn w:val="baseFPheading"/>
    <w:rsid w:val="00056995"/>
    <w:pPr>
      <w:framePr w:wrap="around"/>
    </w:pPr>
    <w:rPr>
      <w:sz w:val="40"/>
    </w:rPr>
  </w:style>
  <w:style w:type="paragraph" w:customStyle="1" w:styleId="FPTitle">
    <w:name w:val="_FP Title"/>
    <w:basedOn w:val="baseFPheading"/>
    <w:next w:val="FPSubtitle"/>
    <w:rsid w:val="00056995"/>
    <w:pPr>
      <w:framePr w:wrap="around"/>
      <w:spacing w:after="113"/>
    </w:pPr>
    <w:rPr>
      <w:sz w:val="80"/>
      <w:szCs w:val="80"/>
    </w:rPr>
  </w:style>
  <w:style w:type="paragraph" w:customStyle="1" w:styleId="FPAAnchor">
    <w:name w:val="_FPA Anchor"/>
    <w:basedOn w:val="baseFPanchored"/>
    <w:rsid w:val="00056995"/>
    <w:pPr>
      <w:framePr w:vSpace="397" w:wrap="around"/>
      <w:spacing w:after="700"/>
      <w:ind w:left="57" w:right="57"/>
    </w:pPr>
  </w:style>
  <w:style w:type="paragraph" w:customStyle="1" w:styleId="FPATableheader">
    <w:name w:val="_FPA Table header"/>
    <w:basedOn w:val="FPAAnchor"/>
    <w:rsid w:val="00056995"/>
    <w:pPr>
      <w:framePr w:wrap="around"/>
      <w:spacing w:after="0"/>
    </w:pPr>
    <w:rPr>
      <w:b/>
    </w:rPr>
  </w:style>
  <w:style w:type="paragraph" w:customStyle="1" w:styleId="FPATableleadheader">
    <w:name w:val="_FPA Table lead header"/>
    <w:basedOn w:val="FPATableheader"/>
    <w:rsid w:val="00056995"/>
    <w:pPr>
      <w:framePr w:wrap="around"/>
    </w:pPr>
  </w:style>
  <w:style w:type="paragraph" w:customStyle="1" w:styleId="FPATabletext">
    <w:name w:val="_FPA Table text"/>
    <w:basedOn w:val="FPAAnchor"/>
    <w:rsid w:val="002C1993"/>
    <w:pPr>
      <w:framePr w:wrap="around"/>
      <w:spacing w:after="0"/>
    </w:pPr>
    <w:rPr>
      <w:sz w:val="16"/>
      <w:szCs w:val="16"/>
    </w:rPr>
  </w:style>
  <w:style w:type="paragraph" w:customStyle="1" w:styleId="FPATableleadtext">
    <w:name w:val="_FPA Table lead text"/>
    <w:basedOn w:val="FPATabletext"/>
    <w:rsid w:val="002C1993"/>
    <w:pPr>
      <w:framePr w:wrap="around"/>
    </w:pPr>
  </w:style>
  <w:style w:type="paragraph" w:customStyle="1" w:styleId="FPATablesource">
    <w:name w:val="_FPA Table source"/>
    <w:basedOn w:val="FPAAnchor"/>
    <w:rsid w:val="00055CCB"/>
    <w:pPr>
      <w:framePr w:wrap="around"/>
      <w:spacing w:after="120" w:line="200" w:lineRule="atLeast"/>
    </w:pPr>
    <w:rPr>
      <w:i/>
      <w:sz w:val="14"/>
      <w:szCs w:val="14"/>
    </w:rPr>
  </w:style>
  <w:style w:type="paragraph" w:customStyle="1" w:styleId="FPATabletitle">
    <w:name w:val="_FPA Table title"/>
    <w:basedOn w:val="FPAAnchor"/>
    <w:rsid w:val="00056995"/>
    <w:pPr>
      <w:framePr w:wrap="around"/>
      <w:spacing w:after="0"/>
    </w:pPr>
    <w:rPr>
      <w:b/>
    </w:rPr>
  </w:style>
  <w:style w:type="paragraph" w:customStyle="1" w:styleId="Heading10">
    <w:name w:val="_Heading 1"/>
    <w:basedOn w:val="baseBlueHeading"/>
    <w:next w:val="BodyText"/>
    <w:link w:val="Heading1Char"/>
    <w:rsid w:val="00056995"/>
    <w:pPr>
      <w:spacing w:after="240" w:line="240" w:lineRule="atLeast"/>
    </w:pPr>
    <w:rPr>
      <w:sz w:val="40"/>
      <w:szCs w:val="40"/>
    </w:rPr>
  </w:style>
  <w:style w:type="character" w:customStyle="1" w:styleId="Heading1Char">
    <w:name w:val="_Heading 1 Char"/>
    <w:basedOn w:val="baseBlueHeadingChar"/>
    <w:link w:val="Heading10"/>
    <w:rsid w:val="00056995"/>
    <w:rPr>
      <w:rFonts w:ascii="Danske Headline" w:hAnsi="Danske Headline"/>
      <w:b/>
      <w:color w:val="002E62"/>
      <w:sz w:val="40"/>
      <w:szCs w:val="40"/>
      <w:lang w:val="en-GB" w:eastAsia="en-GB" w:bidi="ar-SA"/>
    </w:rPr>
  </w:style>
  <w:style w:type="paragraph" w:customStyle="1" w:styleId="Heading20">
    <w:name w:val="_Heading 2"/>
    <w:basedOn w:val="baseBlueHeading"/>
    <w:next w:val="BodyText"/>
    <w:rsid w:val="00962DFE"/>
    <w:pPr>
      <w:spacing w:after="60" w:line="240" w:lineRule="atLeast"/>
    </w:pPr>
    <w:rPr>
      <w:sz w:val="24"/>
      <w:szCs w:val="24"/>
    </w:rPr>
  </w:style>
  <w:style w:type="paragraph" w:customStyle="1" w:styleId="Heading30">
    <w:name w:val="_Heading 3"/>
    <w:basedOn w:val="baseHeading"/>
    <w:next w:val="BodyText"/>
    <w:rsid w:val="008D5A89"/>
    <w:pPr>
      <w:spacing w:after="60" w:line="240" w:lineRule="atLeast"/>
    </w:pPr>
    <w:rPr>
      <w:b/>
      <w:sz w:val="20"/>
      <w:szCs w:val="20"/>
    </w:rPr>
  </w:style>
  <w:style w:type="paragraph" w:customStyle="1" w:styleId="Margintext">
    <w:name w:val="_Margin text"/>
    <w:basedOn w:val="baseMargintext"/>
    <w:link w:val="MargintextCharChar"/>
    <w:rsid w:val="00BD1180"/>
    <w:pPr>
      <w:framePr w:wrap="around"/>
      <w:spacing w:before="80" w:after="120" w:line="270" w:lineRule="atLeast"/>
    </w:pPr>
    <w:rPr>
      <w:sz w:val="19"/>
      <w:szCs w:val="19"/>
    </w:rPr>
  </w:style>
  <w:style w:type="paragraph" w:customStyle="1" w:styleId="MarginBullettext">
    <w:name w:val="_Margin Bullet text"/>
    <w:basedOn w:val="Margintext"/>
    <w:rsid w:val="00BD1180"/>
    <w:pPr>
      <w:framePr w:wrap="around"/>
      <w:numPr>
        <w:numId w:val="27"/>
      </w:numPr>
    </w:pPr>
  </w:style>
  <w:style w:type="paragraph" w:customStyle="1" w:styleId="Margindataheading">
    <w:name w:val="_Margin data heading"/>
    <w:basedOn w:val="baseMargindataheading"/>
    <w:rsid w:val="00E447AC"/>
    <w:pPr>
      <w:framePr w:wrap="around"/>
      <w:spacing w:line="200" w:lineRule="atLeast"/>
    </w:pPr>
    <w:rPr>
      <w:sz w:val="16"/>
    </w:rPr>
  </w:style>
  <w:style w:type="paragraph" w:customStyle="1" w:styleId="Margindataleadheading">
    <w:name w:val="_Margin data lead heading"/>
    <w:basedOn w:val="baseMargindataheading"/>
    <w:rsid w:val="001739DC"/>
    <w:pPr>
      <w:framePr w:wrap="around"/>
      <w:spacing w:line="200" w:lineRule="atLeast"/>
    </w:pPr>
    <w:rPr>
      <w:sz w:val="16"/>
    </w:rPr>
  </w:style>
  <w:style w:type="paragraph" w:customStyle="1" w:styleId="Margindataleadtext">
    <w:name w:val="_Margin data lead text"/>
    <w:basedOn w:val="baseMargindatatext"/>
    <w:rsid w:val="005F4F18"/>
    <w:pPr>
      <w:framePr w:wrap="around"/>
      <w:spacing w:line="200" w:lineRule="atLeast"/>
    </w:pPr>
  </w:style>
  <w:style w:type="paragraph" w:customStyle="1" w:styleId="Margindatasource">
    <w:name w:val="_Margin data source"/>
    <w:basedOn w:val="baseMargindatatext"/>
    <w:rsid w:val="00055CCB"/>
    <w:pPr>
      <w:framePr w:wrap="around"/>
      <w:spacing w:after="120" w:line="200" w:lineRule="atLeast"/>
    </w:pPr>
    <w:rPr>
      <w:i/>
      <w:sz w:val="14"/>
      <w:szCs w:val="14"/>
    </w:rPr>
  </w:style>
  <w:style w:type="paragraph" w:customStyle="1" w:styleId="Margindatatext">
    <w:name w:val="_Margin data text"/>
    <w:basedOn w:val="baseMargindatatext"/>
    <w:rsid w:val="00056995"/>
    <w:pPr>
      <w:framePr w:wrap="around"/>
    </w:pPr>
  </w:style>
  <w:style w:type="paragraph" w:customStyle="1" w:styleId="Margindatatextbold">
    <w:name w:val="_Margin data text bold"/>
    <w:basedOn w:val="Margindatatext"/>
    <w:rsid w:val="00056995"/>
    <w:pPr>
      <w:framePr w:wrap="around"/>
    </w:pPr>
    <w:rPr>
      <w:b/>
      <w:szCs w:val="15"/>
    </w:rPr>
  </w:style>
  <w:style w:type="paragraph" w:customStyle="1" w:styleId="Margindatatitle">
    <w:name w:val="_Margin data title"/>
    <w:basedOn w:val="baseMargindataheading"/>
    <w:rsid w:val="00056995"/>
    <w:pPr>
      <w:framePr w:wrap="around"/>
    </w:pPr>
  </w:style>
  <w:style w:type="paragraph" w:customStyle="1" w:styleId="Marginheading">
    <w:name w:val="_Margin heading"/>
    <w:basedOn w:val="baseMargintext"/>
    <w:link w:val="MarginheadingCharChar"/>
    <w:rsid w:val="00056995"/>
    <w:pPr>
      <w:framePr w:wrap="around"/>
    </w:pPr>
    <w:rPr>
      <w:b/>
      <w:sz w:val="24"/>
      <w:szCs w:val="24"/>
    </w:rPr>
  </w:style>
  <w:style w:type="character" w:customStyle="1" w:styleId="MarginheadingCharChar">
    <w:name w:val="_Margin heading Char Char"/>
    <w:basedOn w:val="baseMargintableCharChar"/>
    <w:link w:val="Marginheading"/>
    <w:rsid w:val="00056995"/>
    <w:rPr>
      <w:rFonts w:ascii="Danske Text" w:hAnsi="Danske Text"/>
      <w:b/>
      <w:sz w:val="24"/>
      <w:szCs w:val="24"/>
      <w:lang w:val="en-GB" w:eastAsia="en-GB" w:bidi="ar-SA"/>
    </w:rPr>
  </w:style>
  <w:style w:type="paragraph" w:customStyle="1" w:styleId="Margintablespaceafter">
    <w:name w:val="_Margin table space after"/>
    <w:basedOn w:val="baseMargintable"/>
    <w:rsid w:val="00056995"/>
    <w:pPr>
      <w:framePr w:wrap="around"/>
    </w:pPr>
    <w:rPr>
      <w:color w:val="FFFFFF"/>
    </w:rPr>
  </w:style>
  <w:style w:type="paragraph" w:customStyle="1" w:styleId="Margintablespacebefore">
    <w:name w:val="_Margin table space before"/>
    <w:basedOn w:val="baseMargintable"/>
    <w:rsid w:val="00056995"/>
    <w:pPr>
      <w:framePr w:wrap="around"/>
      <w:spacing w:line="20" w:lineRule="exact"/>
    </w:pPr>
    <w:rPr>
      <w:sz w:val="2"/>
      <w:szCs w:val="2"/>
    </w:rPr>
  </w:style>
  <w:style w:type="character" w:customStyle="1" w:styleId="MargintextCharChar">
    <w:name w:val="_Margin text Char Char"/>
    <w:basedOn w:val="DefaultParagraphFont"/>
    <w:link w:val="Margintext"/>
    <w:rsid w:val="00BD1180"/>
    <w:rPr>
      <w:rFonts w:ascii="Danske Text" w:hAnsi="Danske Text"/>
      <w:sz w:val="19"/>
      <w:szCs w:val="19"/>
      <w:lang w:val="en-GB" w:eastAsia="en-GB" w:bidi="ar-SA"/>
    </w:rPr>
  </w:style>
  <w:style w:type="paragraph" w:customStyle="1" w:styleId="Margintextspacebefore">
    <w:name w:val="_Margin text space before"/>
    <w:basedOn w:val="baseMargintable"/>
    <w:rsid w:val="00056995"/>
    <w:pPr>
      <w:framePr w:wrap="around"/>
      <w:spacing w:line="20" w:lineRule="exact"/>
      <w:ind w:right="0"/>
    </w:pPr>
    <w:rPr>
      <w:sz w:val="2"/>
      <w:szCs w:val="2"/>
    </w:rPr>
  </w:style>
  <w:style w:type="paragraph" w:customStyle="1" w:styleId="Tableheaderct">
    <w:name w:val="_Table header ct"/>
    <w:basedOn w:val="baseTableheading"/>
    <w:rsid w:val="00056995"/>
    <w:pPr>
      <w:jc w:val="center"/>
    </w:pPr>
  </w:style>
  <w:style w:type="paragraph" w:customStyle="1" w:styleId="Tableheaderlf">
    <w:name w:val="_Table header lf"/>
    <w:basedOn w:val="baseTableheading"/>
    <w:rsid w:val="00056995"/>
  </w:style>
  <w:style w:type="paragraph" w:customStyle="1" w:styleId="Tableheaderrt">
    <w:name w:val="_Table header rt"/>
    <w:basedOn w:val="baseTableheading"/>
    <w:rsid w:val="00E5774D"/>
    <w:pPr>
      <w:jc w:val="right"/>
    </w:pPr>
  </w:style>
  <w:style w:type="paragraph" w:customStyle="1" w:styleId="Tableleadheaderlf">
    <w:name w:val="_Table lead header lf"/>
    <w:basedOn w:val="baseTableheading"/>
    <w:rsid w:val="0011327A"/>
  </w:style>
  <w:style w:type="paragraph" w:customStyle="1" w:styleId="Tableleadtextlf">
    <w:name w:val="_Table lead text lf"/>
    <w:basedOn w:val="baseTabletext"/>
    <w:rsid w:val="00056995"/>
  </w:style>
  <w:style w:type="paragraph" w:customStyle="1" w:styleId="Tablesource">
    <w:name w:val="_Table source"/>
    <w:basedOn w:val="baseTable"/>
    <w:qFormat/>
    <w:rsid w:val="00055CCB"/>
    <w:pPr>
      <w:keepNext/>
      <w:suppressAutoHyphens/>
      <w:spacing w:after="120"/>
    </w:pPr>
    <w:rPr>
      <w:i/>
      <w:sz w:val="14"/>
      <w:szCs w:val="14"/>
      <w:lang w:eastAsia="en-US"/>
    </w:rPr>
  </w:style>
  <w:style w:type="paragraph" w:customStyle="1" w:styleId="Tablespaceafter">
    <w:name w:val="_Table spaceafter"/>
    <w:basedOn w:val="baseTable"/>
    <w:next w:val="BodyText"/>
    <w:rsid w:val="006634AD"/>
    <w:pPr>
      <w:ind w:left="0" w:right="0"/>
    </w:pPr>
  </w:style>
  <w:style w:type="paragraph" w:customStyle="1" w:styleId="Tabletextct">
    <w:name w:val="_Table text ct"/>
    <w:basedOn w:val="baseTabletext"/>
    <w:rsid w:val="00056995"/>
    <w:pPr>
      <w:jc w:val="center"/>
    </w:pPr>
  </w:style>
  <w:style w:type="paragraph" w:customStyle="1" w:styleId="Tabletextctbold">
    <w:name w:val="_Table text ct bold"/>
    <w:basedOn w:val="Tabletextct"/>
    <w:rsid w:val="00056995"/>
    <w:rPr>
      <w:b/>
      <w:szCs w:val="16"/>
    </w:rPr>
  </w:style>
  <w:style w:type="paragraph" w:customStyle="1" w:styleId="Tabletextlf">
    <w:name w:val="_Table text lf"/>
    <w:basedOn w:val="baseTabletext"/>
    <w:rsid w:val="00056995"/>
  </w:style>
  <w:style w:type="paragraph" w:customStyle="1" w:styleId="Tabletextlfbold">
    <w:name w:val="_Table text lf bold"/>
    <w:basedOn w:val="Tabletextlf"/>
    <w:rsid w:val="00056995"/>
    <w:rPr>
      <w:b/>
      <w:szCs w:val="16"/>
    </w:rPr>
  </w:style>
  <w:style w:type="paragraph" w:customStyle="1" w:styleId="Tabletextrt">
    <w:name w:val="_Table text rt"/>
    <w:basedOn w:val="baseTabletext"/>
    <w:rsid w:val="00056995"/>
    <w:pPr>
      <w:jc w:val="right"/>
    </w:pPr>
  </w:style>
  <w:style w:type="paragraph" w:customStyle="1" w:styleId="Tabletextrtbold">
    <w:name w:val="_Table text rt bold"/>
    <w:basedOn w:val="Tabletextrt"/>
    <w:rsid w:val="00056995"/>
    <w:rPr>
      <w:b/>
      <w:szCs w:val="16"/>
    </w:rPr>
  </w:style>
  <w:style w:type="paragraph" w:customStyle="1" w:styleId="Tabletitle">
    <w:name w:val="_Table title"/>
    <w:basedOn w:val="baseTableheading"/>
    <w:link w:val="TabletitleChar"/>
    <w:qFormat/>
    <w:rsid w:val="00AD7D4B"/>
    <w:pPr>
      <w:suppressAutoHyphens/>
    </w:pPr>
    <w:rPr>
      <w:sz w:val="18"/>
    </w:rPr>
  </w:style>
  <w:style w:type="paragraph" w:customStyle="1" w:styleId="TOCheading">
    <w:name w:val="_TOC heading"/>
    <w:basedOn w:val="Heading10"/>
    <w:next w:val="BodyText"/>
    <w:rsid w:val="00056995"/>
  </w:style>
  <w:style w:type="paragraph" w:customStyle="1" w:styleId="UserInformation">
    <w:name w:val="__User Information"/>
    <w:basedOn w:val="Normal"/>
    <w:rsid w:val="00056995"/>
    <w:rPr>
      <w:rFonts w:ascii="Arial" w:hAnsi="Arial"/>
      <w:color w:val="FF0000"/>
      <w:sz w:val="40"/>
    </w:rPr>
  </w:style>
  <w:style w:type="paragraph" w:customStyle="1" w:styleId="WebLink">
    <w:name w:val="__Web Link"/>
    <w:basedOn w:val="Normal0"/>
    <w:semiHidden/>
    <w:rsid w:val="00056995"/>
    <w:rPr>
      <w:color w:val="FFFFFF"/>
      <w:spacing w:val="9"/>
      <w:position w:val="-24"/>
    </w:rPr>
  </w:style>
  <w:style w:type="paragraph" w:customStyle="1" w:styleId="Default">
    <w:name w:val="Default"/>
    <w:basedOn w:val="1pthidden"/>
    <w:semiHidden/>
    <w:rsid w:val="00056995"/>
  </w:style>
  <w:style w:type="paragraph" w:styleId="Footer0">
    <w:name w:val="footer"/>
    <w:basedOn w:val="Normal"/>
    <w:semiHidden/>
    <w:rsid w:val="00056995"/>
    <w:pPr>
      <w:tabs>
        <w:tab w:val="center" w:pos="4153"/>
        <w:tab w:val="right" w:pos="8306"/>
      </w:tabs>
    </w:pPr>
  </w:style>
  <w:style w:type="paragraph" w:styleId="Header0">
    <w:name w:val="header"/>
    <w:basedOn w:val="Normal"/>
    <w:semiHidden/>
    <w:rsid w:val="00056995"/>
    <w:pPr>
      <w:tabs>
        <w:tab w:val="center" w:pos="4153"/>
        <w:tab w:val="right" w:pos="8306"/>
      </w:tabs>
    </w:pPr>
  </w:style>
  <w:style w:type="character" w:styleId="Hyperlink">
    <w:name w:val="Hyperlink"/>
    <w:rsid w:val="00056995"/>
    <w:rPr>
      <w:i/>
      <w:color w:val="002E62"/>
      <w:u w:val="none"/>
    </w:rPr>
  </w:style>
  <w:style w:type="table" w:styleId="TableGrid">
    <w:name w:val="Table Grid"/>
    <w:basedOn w:val="TableNormal"/>
    <w:rsid w:val="00C86F62"/>
    <w:tblPr/>
    <w:tcPr>
      <w:shd w:val="clear" w:color="auto" w:fill="auto"/>
    </w:tcPr>
  </w:style>
  <w:style w:type="paragraph" w:styleId="TOC1">
    <w:name w:val="toc 1"/>
    <w:basedOn w:val="baseBlueHeading"/>
    <w:next w:val="TOC2"/>
    <w:semiHidden/>
    <w:rsid w:val="00CC1999"/>
    <w:pPr>
      <w:spacing w:before="60"/>
    </w:pPr>
    <w:rPr>
      <w:b w:val="0"/>
      <w:sz w:val="24"/>
      <w:szCs w:val="24"/>
    </w:rPr>
  </w:style>
  <w:style w:type="paragraph" w:styleId="TOC2">
    <w:name w:val="toc 2"/>
    <w:basedOn w:val="baseTOC"/>
    <w:rsid w:val="00CC1999"/>
    <w:pPr>
      <w:spacing w:after="0"/>
    </w:pPr>
  </w:style>
  <w:style w:type="paragraph" w:customStyle="1" w:styleId="Logo">
    <w:name w:val="_Logo"/>
    <w:basedOn w:val="Header"/>
    <w:rsid w:val="00056995"/>
    <w:pPr>
      <w:jc w:val="right"/>
    </w:pPr>
  </w:style>
  <w:style w:type="paragraph" w:customStyle="1" w:styleId="LandscapeLogo">
    <w:name w:val="_Landscape Logo"/>
    <w:basedOn w:val="Header"/>
    <w:rsid w:val="00056995"/>
    <w:pPr>
      <w:framePr w:w="737" w:h="11907" w:hRule="exact" w:wrap="around" w:vAnchor="page" w:hAnchor="page" w:x="16093" w:y="1"/>
      <w:tabs>
        <w:tab w:val="left" w:pos="397"/>
      </w:tabs>
      <w:jc w:val="right"/>
    </w:pPr>
  </w:style>
  <w:style w:type="paragraph" w:customStyle="1" w:styleId="AnalystTelephone">
    <w:name w:val="_AnalystTelephone"/>
    <w:basedOn w:val="AnalystName"/>
    <w:next w:val="AnalystEmail"/>
    <w:rsid w:val="00056995"/>
    <w:pPr>
      <w:framePr w:w="0" w:wrap="around" w:x="7996"/>
      <w:suppressOverlap/>
    </w:pPr>
  </w:style>
  <w:style w:type="paragraph" w:customStyle="1" w:styleId="AnalystEmail">
    <w:name w:val="_AnalystEmail"/>
    <w:basedOn w:val="AnalystName"/>
    <w:next w:val="AnalystTitle"/>
    <w:rsid w:val="00056995"/>
    <w:pPr>
      <w:framePr w:w="0" w:wrap="around" w:x="7996"/>
      <w:suppressOverlap/>
    </w:pPr>
  </w:style>
  <w:style w:type="paragraph" w:customStyle="1" w:styleId="BannerTextLS">
    <w:name w:val="_Banner Text LS"/>
    <w:basedOn w:val="LandscapeLogo"/>
    <w:semiHidden/>
    <w:rsid w:val="00C67C81"/>
    <w:pPr>
      <w:framePr w:wrap="around"/>
      <w:spacing w:before="20"/>
      <w:ind w:left="737"/>
      <w:jc w:val="left"/>
    </w:pPr>
    <w:rPr>
      <w:color w:val="002E62"/>
      <w:sz w:val="15"/>
      <w:szCs w:val="15"/>
    </w:rPr>
  </w:style>
  <w:style w:type="character" w:customStyle="1" w:styleId="baseFPanchoredChar">
    <w:name w:val="__base FP anchored Char"/>
    <w:basedOn w:val="NormalChar"/>
    <w:link w:val="baseFPanchored"/>
    <w:rsid w:val="00056995"/>
    <w:rPr>
      <w:rFonts w:ascii="Danske Text" w:hAnsi="Danske Text"/>
      <w:sz w:val="18"/>
      <w:szCs w:val="18"/>
      <w:lang w:val="en-GB" w:eastAsia="en-GB" w:bidi="ar-SA"/>
    </w:rPr>
  </w:style>
  <w:style w:type="paragraph" w:customStyle="1" w:styleId="WebLink0">
    <w:name w:val="_Web Link"/>
    <w:basedOn w:val="baseFPanchored"/>
    <w:link w:val="WebLinkChar"/>
    <w:semiHidden/>
    <w:rsid w:val="00056995"/>
    <w:pPr>
      <w:framePr w:w="3164" w:wrap="around" w:x="8005"/>
      <w:spacing w:after="200"/>
    </w:pPr>
    <w:rPr>
      <w:color w:val="FFFFFF"/>
      <w:spacing w:val="9"/>
    </w:rPr>
  </w:style>
  <w:style w:type="paragraph" w:customStyle="1" w:styleId="SECTIONTOCEND">
    <w:name w:val="__SECTION TOC END"/>
    <w:basedOn w:val="1pt"/>
    <w:next w:val="BodyText"/>
    <w:semiHidden/>
    <w:rsid w:val="00056995"/>
    <w:pPr>
      <w:pageBreakBefore/>
    </w:pPr>
  </w:style>
  <w:style w:type="paragraph" w:customStyle="1" w:styleId="Footerlandscape">
    <w:name w:val="_Footer landscape"/>
    <w:basedOn w:val="Footer"/>
    <w:rsid w:val="00056995"/>
    <w:pPr>
      <w:framePr w:w="0" w:h="11170" w:hRule="exact" w:wrap="around" w:x="1" w:y="738" w:anchorLock="1"/>
    </w:pPr>
  </w:style>
  <w:style w:type="character" w:customStyle="1" w:styleId="WebLinkChar">
    <w:name w:val="_Web Link Char"/>
    <w:basedOn w:val="baseFPanchoredChar"/>
    <w:link w:val="WebLink0"/>
    <w:rsid w:val="00056995"/>
    <w:rPr>
      <w:rFonts w:ascii="Danske Text" w:hAnsi="Danske Text"/>
      <w:color w:val="FFFFFF"/>
      <w:spacing w:val="9"/>
      <w:sz w:val="18"/>
      <w:szCs w:val="18"/>
      <w:lang w:val="en-GB" w:eastAsia="en-GB" w:bidi="ar-SA"/>
    </w:rPr>
  </w:style>
  <w:style w:type="paragraph" w:customStyle="1" w:styleId="CompanyName">
    <w:name w:val="_CompanyName"/>
    <w:basedOn w:val="baseBlueHeading"/>
    <w:next w:val="Heading20"/>
    <w:rsid w:val="00056995"/>
    <w:pPr>
      <w:spacing w:after="120" w:line="240" w:lineRule="atLeast"/>
    </w:pPr>
    <w:rPr>
      <w:sz w:val="72"/>
      <w:szCs w:val="72"/>
    </w:rPr>
  </w:style>
  <w:style w:type="character" w:customStyle="1" w:styleId="baseMargintextChar">
    <w:name w:val="__base Margin text Char"/>
    <w:basedOn w:val="baseMargintableCharChar"/>
    <w:link w:val="baseMargintext"/>
    <w:rsid w:val="00103DD8"/>
    <w:rPr>
      <w:rFonts w:ascii="Danske Text" w:hAnsi="Danske Text"/>
      <w:sz w:val="18"/>
      <w:szCs w:val="18"/>
      <w:lang w:val="en-GB" w:eastAsia="en-GB" w:bidi="ar-SA"/>
    </w:rPr>
  </w:style>
  <w:style w:type="paragraph" w:customStyle="1" w:styleId="Creditheading">
    <w:name w:val="_Credit heading"/>
    <w:basedOn w:val="baseMargintable"/>
    <w:rsid w:val="00056995"/>
    <w:pPr>
      <w:framePr w:wrap="around"/>
      <w:spacing w:before="120" w:after="120"/>
    </w:pPr>
    <w:rPr>
      <w:b/>
      <w:color w:val="002E62"/>
      <w:sz w:val="22"/>
      <w:szCs w:val="22"/>
    </w:rPr>
  </w:style>
  <w:style w:type="paragraph" w:customStyle="1" w:styleId="Credittablespaceafter">
    <w:name w:val="_Credit table space after"/>
    <w:basedOn w:val="baseMargintable"/>
    <w:rsid w:val="00056995"/>
    <w:pPr>
      <w:framePr w:wrap="around"/>
    </w:pPr>
    <w:rPr>
      <w:color w:val="FFFFFF"/>
    </w:rPr>
  </w:style>
  <w:style w:type="paragraph" w:customStyle="1" w:styleId="Credittablespacebefore">
    <w:name w:val="_Credit table space before"/>
    <w:basedOn w:val="baseMargintable"/>
    <w:rsid w:val="00056995"/>
    <w:pPr>
      <w:framePr w:wrap="around"/>
      <w:spacing w:line="20" w:lineRule="exact"/>
    </w:pPr>
  </w:style>
  <w:style w:type="paragraph" w:customStyle="1" w:styleId="Credittext">
    <w:name w:val="_Credit text"/>
    <w:basedOn w:val="baseMargintext"/>
    <w:link w:val="CredittextChar"/>
    <w:rsid w:val="00056995"/>
    <w:pPr>
      <w:framePr w:wrap="around"/>
    </w:pPr>
  </w:style>
  <w:style w:type="character" w:customStyle="1" w:styleId="CredittextChar">
    <w:name w:val="_Credit text Char"/>
    <w:basedOn w:val="baseMargintextChar"/>
    <w:link w:val="Credittext"/>
    <w:rsid w:val="00056995"/>
    <w:rPr>
      <w:rFonts w:ascii="Danske Text" w:hAnsi="Danske Text"/>
      <w:sz w:val="18"/>
      <w:szCs w:val="18"/>
      <w:lang w:val="en-GB" w:eastAsia="en-GB" w:bidi="ar-SA"/>
    </w:rPr>
  </w:style>
  <w:style w:type="character" w:customStyle="1" w:styleId="Credittextcharacter">
    <w:name w:val="_Credit text character"/>
    <w:basedOn w:val="CredittextChar"/>
    <w:rsid w:val="00056995"/>
    <w:rPr>
      <w:rFonts w:ascii="Danske Text" w:hAnsi="Danske Text"/>
      <w:color w:val="auto"/>
      <w:sz w:val="18"/>
      <w:szCs w:val="18"/>
      <w:lang w:val="en-GB" w:eastAsia="en-GB" w:bidi="ar-SA"/>
    </w:rPr>
  </w:style>
  <w:style w:type="paragraph" w:customStyle="1" w:styleId="Credittitle">
    <w:name w:val="_Credit title"/>
    <w:basedOn w:val="baseMargintable"/>
    <w:rsid w:val="00C03107"/>
    <w:pPr>
      <w:framePr w:wrap="around"/>
      <w:spacing w:before="120" w:after="120" w:line="270" w:lineRule="atLeast"/>
    </w:pPr>
    <w:rPr>
      <w:b/>
      <w:caps/>
      <w:color w:val="002E62"/>
      <w:sz w:val="36"/>
      <w:szCs w:val="36"/>
    </w:rPr>
  </w:style>
  <w:style w:type="paragraph" w:customStyle="1" w:styleId="Bulletlevel2">
    <w:name w:val="_Bullet level 2"/>
    <w:basedOn w:val="Bullet"/>
    <w:rsid w:val="007F58EA"/>
    <w:pPr>
      <w:numPr>
        <w:ilvl w:val="1"/>
      </w:numPr>
    </w:pPr>
  </w:style>
  <w:style w:type="numbering" w:customStyle="1" w:styleId="DanskeBulletList">
    <w:name w:val="_Danske Bullet List"/>
    <w:rsid w:val="007F58EA"/>
    <w:pPr>
      <w:numPr>
        <w:numId w:val="18"/>
      </w:numPr>
    </w:pPr>
  </w:style>
  <w:style w:type="paragraph" w:customStyle="1" w:styleId="Margindataholder">
    <w:name w:val="_Margin data holder"/>
    <w:basedOn w:val="baseMargintext"/>
    <w:rsid w:val="005A3F21"/>
    <w:pPr>
      <w:framePr w:wrap="around"/>
      <w:spacing w:line="240" w:lineRule="auto"/>
      <w:ind w:left="0" w:right="0"/>
      <w:jc w:val="center"/>
    </w:pPr>
    <w:rPr>
      <w:sz w:val="15"/>
      <w:szCs w:val="15"/>
    </w:rPr>
  </w:style>
  <w:style w:type="numbering" w:customStyle="1" w:styleId="DanskeNumberedList">
    <w:name w:val="_Danske Numbered List"/>
    <w:rsid w:val="00E745A6"/>
    <w:pPr>
      <w:numPr>
        <w:numId w:val="23"/>
      </w:numPr>
    </w:pPr>
  </w:style>
  <w:style w:type="paragraph" w:customStyle="1" w:styleId="BulletNumberedLevel2">
    <w:name w:val="_Bullet Numbered Level 2"/>
    <w:basedOn w:val="baseBodytext"/>
    <w:rsid w:val="00652F2C"/>
    <w:pPr>
      <w:numPr>
        <w:ilvl w:val="1"/>
        <w:numId w:val="23"/>
      </w:numPr>
      <w:ind w:left="568" w:hanging="284"/>
    </w:pPr>
  </w:style>
  <w:style w:type="paragraph" w:customStyle="1" w:styleId="Margindataleadtextrt">
    <w:name w:val="_Margin data lead text rt"/>
    <w:basedOn w:val="Margindataleadtext"/>
    <w:rsid w:val="00CA55E4"/>
    <w:pPr>
      <w:framePr w:wrap="around"/>
      <w:jc w:val="right"/>
    </w:pPr>
  </w:style>
  <w:style w:type="paragraph" w:customStyle="1" w:styleId="Margindataheadingrt">
    <w:name w:val="_Margin data heading rt"/>
    <w:basedOn w:val="Margindataheading"/>
    <w:rsid w:val="00067DF7"/>
    <w:pPr>
      <w:framePr w:wrap="around"/>
      <w:jc w:val="right"/>
    </w:pPr>
  </w:style>
  <w:style w:type="paragraph" w:customStyle="1" w:styleId="Margindatatextrt">
    <w:name w:val="_Margin data text rt"/>
    <w:basedOn w:val="Margindatatext"/>
    <w:rsid w:val="00067DF7"/>
    <w:pPr>
      <w:framePr w:wrap="around"/>
      <w:jc w:val="right"/>
    </w:pPr>
  </w:style>
  <w:style w:type="paragraph" w:customStyle="1" w:styleId="Margindatatextboldrt">
    <w:name w:val="_Margin data text bold rt"/>
    <w:basedOn w:val="Margindatatextbold"/>
    <w:rsid w:val="00067DF7"/>
    <w:pPr>
      <w:framePr w:wrap="around"/>
      <w:jc w:val="right"/>
    </w:pPr>
  </w:style>
  <w:style w:type="paragraph" w:customStyle="1" w:styleId="Margindataleadheadingrt">
    <w:name w:val="_Margin data lead heading rt"/>
    <w:basedOn w:val="Margindataleadheading"/>
    <w:rsid w:val="00067DF7"/>
    <w:pPr>
      <w:framePr w:wrap="around"/>
      <w:jc w:val="right"/>
    </w:pPr>
  </w:style>
  <w:style w:type="paragraph" w:styleId="BalloonText">
    <w:name w:val="Balloon Text"/>
    <w:basedOn w:val="Normal"/>
    <w:link w:val="BalloonTextChar"/>
    <w:rsid w:val="00292CAB"/>
    <w:rPr>
      <w:rFonts w:ascii="Tahoma" w:hAnsi="Tahoma" w:cs="Tahoma"/>
      <w:sz w:val="16"/>
      <w:szCs w:val="16"/>
    </w:rPr>
  </w:style>
  <w:style w:type="character" w:customStyle="1" w:styleId="BalloonTextChar">
    <w:name w:val="Balloon Text Char"/>
    <w:basedOn w:val="DefaultParagraphFont"/>
    <w:link w:val="BalloonText"/>
    <w:rsid w:val="00292CAB"/>
    <w:rPr>
      <w:rFonts w:ascii="Tahoma" w:hAnsi="Tahoma" w:cs="Tahoma"/>
      <w:sz w:val="16"/>
      <w:szCs w:val="16"/>
      <w:lang w:val="en-GB" w:eastAsia="en-GB"/>
    </w:rPr>
  </w:style>
  <w:style w:type="character" w:customStyle="1" w:styleId="Disclaimer">
    <w:name w:val="Disclaimer"/>
    <w:uiPriority w:val="1"/>
    <w:rsid w:val="00292CAB"/>
    <w:rPr>
      <w:rFonts w:ascii="Danske Text" w:hAnsi="Danske Text"/>
      <w:i/>
      <w:sz w:val="16"/>
    </w:rPr>
  </w:style>
  <w:style w:type="paragraph" w:customStyle="1" w:styleId="Ingressi">
    <w:name w:val="Ingressi"/>
    <w:basedOn w:val="Normal"/>
    <w:qFormat/>
    <w:rsid w:val="00292CAB"/>
    <w:pPr>
      <w:spacing w:after="170" w:line="280" w:lineRule="exact"/>
      <w:jc w:val="both"/>
    </w:pPr>
    <w:rPr>
      <w:rFonts w:eastAsia="Cambria" w:cs="DanskeText"/>
      <w:b/>
      <w:color w:val="000000" w:themeColor="text1"/>
      <w:sz w:val="20"/>
      <w:lang w:val="fi-FI" w:eastAsia="en-US"/>
    </w:rPr>
  </w:style>
  <w:style w:type="paragraph" w:customStyle="1" w:styleId="Viitteet">
    <w:name w:val="_Viitteet"/>
    <w:basedOn w:val="Normal"/>
    <w:qFormat/>
    <w:rsid w:val="00292CAB"/>
    <w:pPr>
      <w:spacing w:after="170" w:line="170" w:lineRule="exact"/>
      <w:jc w:val="both"/>
    </w:pPr>
    <w:rPr>
      <w:rFonts w:ascii="DanskeText" w:eastAsia="Cambria" w:hAnsi="DanskeText" w:cs="DanskeText"/>
      <w:sz w:val="14"/>
      <w:lang w:val="fi-FI" w:eastAsia="en-US"/>
    </w:rPr>
  </w:style>
  <w:style w:type="paragraph" w:customStyle="1" w:styleId="Leipis">
    <w:name w:val="_Leipis"/>
    <w:basedOn w:val="Normal"/>
    <w:qFormat/>
    <w:rsid w:val="00292CAB"/>
    <w:pPr>
      <w:spacing w:after="170" w:line="290" w:lineRule="exact"/>
      <w:jc w:val="both"/>
    </w:pPr>
    <w:rPr>
      <w:rFonts w:ascii="DanskeText" w:eastAsia="Cambria" w:hAnsi="DanskeText" w:cs="DanskeText"/>
      <w:sz w:val="20"/>
      <w:lang w:val="fi-FI" w:eastAsia="en-US"/>
    </w:rPr>
  </w:style>
  <w:style w:type="paragraph" w:customStyle="1" w:styleId="Taulukkoleipis">
    <w:name w:val="_Taulukko leipis"/>
    <w:basedOn w:val="Normal"/>
    <w:qFormat/>
    <w:rsid w:val="00C32CB4"/>
    <w:pPr>
      <w:spacing w:line="230" w:lineRule="exact"/>
      <w:ind w:left="113"/>
    </w:pPr>
    <w:rPr>
      <w:rFonts w:ascii="DanskeText" w:eastAsia="Cambria" w:hAnsi="DanskeText" w:cs="DanskeText"/>
      <w:noProof/>
      <w:lang w:val="en-US" w:eastAsia="en-US"/>
    </w:rPr>
  </w:style>
  <w:style w:type="paragraph" w:customStyle="1" w:styleId="Taulukkootsiko">
    <w:name w:val="_Taulukko otsiko"/>
    <w:basedOn w:val="Normal"/>
    <w:qFormat/>
    <w:rsid w:val="00C32CB4"/>
    <w:pPr>
      <w:spacing w:line="240" w:lineRule="exact"/>
      <w:contextualSpacing/>
    </w:pPr>
    <w:rPr>
      <w:rFonts w:eastAsia="Cambria" w:cs="DanskeText"/>
      <w:b/>
      <w:noProof/>
      <w:lang w:val="en-US" w:eastAsia="en-US"/>
    </w:rPr>
  </w:style>
  <w:style w:type="table" w:styleId="TableClassic3">
    <w:name w:val="Table Classic 3"/>
    <w:basedOn w:val="TableNormal"/>
    <w:rsid w:val="0084493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MediumShading2-Accent11">
    <w:name w:val="Medium Shading 2 - Accent 11"/>
    <w:basedOn w:val="TableNormal"/>
    <w:uiPriority w:val="64"/>
    <w:rsid w:val="008449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aliotsikot">
    <w:name w:val="_Valiotsikot"/>
    <w:basedOn w:val="Normal"/>
    <w:qFormat/>
    <w:rsid w:val="005A3AA8"/>
    <w:pPr>
      <w:spacing w:after="170" w:line="400" w:lineRule="exact"/>
      <w:contextualSpacing/>
    </w:pPr>
    <w:rPr>
      <w:rFonts w:ascii="DanskeText" w:eastAsia="Cambria" w:hAnsi="DanskeText" w:cs="DanskeText"/>
      <w:noProof/>
      <w:color w:val="003466"/>
      <w:sz w:val="35"/>
      <w:lang w:val="en-US" w:eastAsia="en-US"/>
    </w:rPr>
  </w:style>
  <w:style w:type="character" w:styleId="CommentReference">
    <w:name w:val="annotation reference"/>
    <w:basedOn w:val="DefaultParagraphFont"/>
    <w:rsid w:val="00581F10"/>
    <w:rPr>
      <w:sz w:val="16"/>
      <w:szCs w:val="16"/>
    </w:rPr>
  </w:style>
  <w:style w:type="paragraph" w:styleId="CommentText">
    <w:name w:val="annotation text"/>
    <w:basedOn w:val="Normal"/>
    <w:link w:val="CommentTextChar"/>
    <w:rsid w:val="00581F10"/>
    <w:rPr>
      <w:sz w:val="20"/>
      <w:szCs w:val="20"/>
    </w:rPr>
  </w:style>
  <w:style w:type="character" w:customStyle="1" w:styleId="CommentTextChar">
    <w:name w:val="Comment Text Char"/>
    <w:basedOn w:val="DefaultParagraphFont"/>
    <w:link w:val="CommentText"/>
    <w:rsid w:val="00581F10"/>
    <w:rPr>
      <w:rFonts w:ascii="Danske Text" w:hAnsi="Danske Text"/>
      <w:lang w:val="en-GB" w:eastAsia="en-GB"/>
    </w:rPr>
  </w:style>
  <w:style w:type="paragraph" w:styleId="CommentSubject">
    <w:name w:val="annotation subject"/>
    <w:basedOn w:val="CommentText"/>
    <w:next w:val="CommentText"/>
    <w:link w:val="CommentSubjectChar"/>
    <w:rsid w:val="00581F10"/>
    <w:rPr>
      <w:b/>
      <w:bCs/>
    </w:rPr>
  </w:style>
  <w:style w:type="character" w:customStyle="1" w:styleId="CommentSubjectChar">
    <w:name w:val="Comment Subject Char"/>
    <w:basedOn w:val="CommentTextChar"/>
    <w:link w:val="CommentSubject"/>
    <w:rsid w:val="00581F10"/>
    <w:rPr>
      <w:rFonts w:ascii="Danske Text" w:hAnsi="Danske Text"/>
      <w:b/>
      <w:bCs/>
      <w:lang w:val="en-GB" w:eastAsia="en-GB"/>
    </w:rPr>
  </w:style>
  <w:style w:type="paragraph" w:styleId="NormalWeb">
    <w:name w:val="Normal (Web)"/>
    <w:basedOn w:val="Normal"/>
    <w:uiPriority w:val="99"/>
    <w:semiHidden/>
    <w:unhideWhenUsed/>
    <w:rsid w:val="00467266"/>
    <w:pPr>
      <w:spacing w:before="100" w:beforeAutospacing="1" w:after="100" w:afterAutospacing="1"/>
    </w:pPr>
    <w:rPr>
      <w:rFonts w:ascii="Times New Roman" w:hAnsi="Times New Roman"/>
      <w:sz w:val="24"/>
      <w:lang w:val="en-US" w:eastAsia="en-US"/>
    </w:rPr>
  </w:style>
  <w:style w:type="character" w:customStyle="1" w:styleId="st1">
    <w:name w:val="st1"/>
    <w:basedOn w:val="DefaultParagraphFont"/>
    <w:rsid w:val="00497173"/>
  </w:style>
  <w:style w:type="table" w:styleId="MediumList2-Accent1">
    <w:name w:val="Medium List 2 Accent 1"/>
    <w:basedOn w:val="TableNormal"/>
    <w:uiPriority w:val="66"/>
    <w:rsid w:val="0039730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4">
    <w:name w:val="Calendar 4"/>
    <w:basedOn w:val="TableNormal"/>
    <w:uiPriority w:val="99"/>
    <w:qFormat/>
    <w:rsid w:val="0039730F"/>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customStyle="1" w:styleId="TabletitleChar">
    <w:name w:val="_Table title Char"/>
    <w:basedOn w:val="DefaultParagraphFont"/>
    <w:link w:val="Tabletitle"/>
    <w:rsid w:val="00B922D8"/>
    <w:rPr>
      <w:rFonts w:ascii="Danske Text" w:hAnsi="Danske Text"/>
      <w:b/>
      <w:sz w:val="18"/>
      <w:szCs w:val="16"/>
      <w:lang w:val="en-GB" w:eastAsia="en-GB"/>
    </w:rPr>
  </w:style>
  <w:style w:type="table" w:customStyle="1" w:styleId="Placeholder">
    <w:name w:val="_Placeholder"/>
    <w:basedOn w:val="TableNormal"/>
    <w:uiPriority w:val="99"/>
    <w:rsid w:val="00B922D8"/>
    <w:rPr>
      <w:lang w:val="en-GB" w:eastAsia="en-GB"/>
    </w:rPr>
    <w:tblPr>
      <w:tblBorders>
        <w:top w:val="single" w:sz="12" w:space="0" w:color="808080"/>
        <w:bottom w:val="single" w:sz="2" w:space="0" w:color="808080"/>
        <w:insideH w:val="single" w:sz="2" w:space="0" w:color="808080"/>
      </w:tblBorders>
      <w:tblCellMar>
        <w:left w:w="0" w:type="dxa"/>
        <w:right w:w="0" w:type="dxa"/>
      </w:tblCellMar>
    </w:tblPr>
    <w:tcPr>
      <w:shd w:val="clear" w:color="auto" w:fill="F3F3F3"/>
    </w:tcPr>
  </w:style>
  <w:style w:type="paragraph" w:styleId="ListParagraph">
    <w:name w:val="List Paragraph"/>
    <w:basedOn w:val="Normal"/>
    <w:uiPriority w:val="34"/>
    <w:qFormat/>
    <w:rsid w:val="00B9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49435">
      <w:bodyDiv w:val="1"/>
      <w:marLeft w:val="0"/>
      <w:marRight w:val="0"/>
      <w:marTop w:val="0"/>
      <w:marBottom w:val="0"/>
      <w:divBdr>
        <w:top w:val="none" w:sz="0" w:space="0" w:color="auto"/>
        <w:left w:val="none" w:sz="0" w:space="0" w:color="auto"/>
        <w:bottom w:val="none" w:sz="0" w:space="0" w:color="auto"/>
        <w:right w:val="none" w:sz="0" w:space="0" w:color="auto"/>
      </w:divBdr>
    </w:div>
    <w:div w:id="569927279">
      <w:bodyDiv w:val="1"/>
      <w:marLeft w:val="0"/>
      <w:marRight w:val="0"/>
      <w:marTop w:val="0"/>
      <w:marBottom w:val="0"/>
      <w:divBdr>
        <w:top w:val="none" w:sz="0" w:space="0" w:color="auto"/>
        <w:left w:val="none" w:sz="0" w:space="0" w:color="auto"/>
        <w:bottom w:val="none" w:sz="0" w:space="0" w:color="auto"/>
        <w:right w:val="none" w:sz="0" w:space="0" w:color="auto"/>
      </w:divBdr>
    </w:div>
    <w:div w:id="968436641">
      <w:bodyDiv w:val="1"/>
      <w:marLeft w:val="0"/>
      <w:marRight w:val="0"/>
      <w:marTop w:val="0"/>
      <w:marBottom w:val="0"/>
      <w:divBdr>
        <w:top w:val="none" w:sz="0" w:space="0" w:color="auto"/>
        <w:left w:val="none" w:sz="0" w:space="0" w:color="auto"/>
        <w:bottom w:val="none" w:sz="0" w:space="0" w:color="auto"/>
        <w:right w:val="none" w:sz="0" w:space="0" w:color="auto"/>
      </w:divBdr>
    </w:div>
    <w:div w:id="1137605793">
      <w:bodyDiv w:val="1"/>
      <w:marLeft w:val="0"/>
      <w:marRight w:val="0"/>
      <w:marTop w:val="0"/>
      <w:marBottom w:val="0"/>
      <w:divBdr>
        <w:top w:val="none" w:sz="0" w:space="0" w:color="auto"/>
        <w:left w:val="none" w:sz="0" w:space="0" w:color="auto"/>
        <w:bottom w:val="none" w:sz="0" w:space="0" w:color="auto"/>
        <w:right w:val="none" w:sz="0" w:space="0" w:color="auto"/>
      </w:divBdr>
    </w:div>
    <w:div w:id="1176337578">
      <w:bodyDiv w:val="1"/>
      <w:marLeft w:val="0"/>
      <w:marRight w:val="0"/>
      <w:marTop w:val="0"/>
      <w:marBottom w:val="0"/>
      <w:divBdr>
        <w:top w:val="none" w:sz="0" w:space="0" w:color="auto"/>
        <w:left w:val="none" w:sz="0" w:space="0" w:color="auto"/>
        <w:bottom w:val="none" w:sz="0" w:space="0" w:color="auto"/>
        <w:right w:val="none" w:sz="0" w:space="0" w:color="auto"/>
      </w:divBdr>
    </w:div>
    <w:div w:id="1220819839">
      <w:bodyDiv w:val="1"/>
      <w:marLeft w:val="0"/>
      <w:marRight w:val="0"/>
      <w:marTop w:val="0"/>
      <w:marBottom w:val="0"/>
      <w:divBdr>
        <w:top w:val="none" w:sz="0" w:space="0" w:color="auto"/>
        <w:left w:val="none" w:sz="0" w:space="0" w:color="auto"/>
        <w:bottom w:val="none" w:sz="0" w:space="0" w:color="auto"/>
        <w:right w:val="none" w:sz="0" w:space="0" w:color="auto"/>
      </w:divBdr>
    </w:div>
    <w:div w:id="1661688742">
      <w:bodyDiv w:val="1"/>
      <w:marLeft w:val="0"/>
      <w:marRight w:val="0"/>
      <w:marTop w:val="0"/>
      <w:marBottom w:val="0"/>
      <w:divBdr>
        <w:top w:val="none" w:sz="0" w:space="0" w:color="auto"/>
        <w:left w:val="none" w:sz="0" w:space="0" w:color="auto"/>
        <w:bottom w:val="none" w:sz="0" w:space="0" w:color="auto"/>
        <w:right w:val="none" w:sz="0" w:space="0" w:color="auto"/>
      </w:divBdr>
      <w:divsChild>
        <w:div w:id="446388876">
          <w:marLeft w:val="0"/>
          <w:marRight w:val="0"/>
          <w:marTop w:val="0"/>
          <w:marBottom w:val="0"/>
          <w:divBdr>
            <w:top w:val="none" w:sz="0" w:space="0" w:color="auto"/>
            <w:left w:val="none" w:sz="0" w:space="0" w:color="auto"/>
            <w:bottom w:val="none" w:sz="0" w:space="0" w:color="auto"/>
            <w:right w:val="none" w:sz="0" w:space="0" w:color="auto"/>
          </w:divBdr>
          <w:divsChild>
            <w:div w:id="1116366559">
              <w:marLeft w:val="0"/>
              <w:marRight w:val="0"/>
              <w:marTop w:val="0"/>
              <w:marBottom w:val="0"/>
              <w:divBdr>
                <w:top w:val="none" w:sz="0" w:space="0" w:color="auto"/>
                <w:left w:val="none" w:sz="0" w:space="0" w:color="auto"/>
                <w:bottom w:val="none" w:sz="0" w:space="0" w:color="auto"/>
                <w:right w:val="none" w:sz="0" w:space="0" w:color="auto"/>
              </w:divBdr>
              <w:divsChild>
                <w:div w:id="90972517">
                  <w:marLeft w:val="0"/>
                  <w:marRight w:val="0"/>
                  <w:marTop w:val="0"/>
                  <w:marBottom w:val="0"/>
                  <w:divBdr>
                    <w:top w:val="none" w:sz="0" w:space="0" w:color="auto"/>
                    <w:left w:val="none" w:sz="0" w:space="0" w:color="auto"/>
                    <w:bottom w:val="none" w:sz="0" w:space="0" w:color="auto"/>
                    <w:right w:val="none" w:sz="0" w:space="0" w:color="auto"/>
                  </w:divBdr>
                  <w:divsChild>
                    <w:div w:id="1421482750">
                      <w:marLeft w:val="0"/>
                      <w:marRight w:val="0"/>
                      <w:marTop w:val="0"/>
                      <w:marBottom w:val="0"/>
                      <w:divBdr>
                        <w:top w:val="none" w:sz="0" w:space="0" w:color="auto"/>
                        <w:left w:val="none" w:sz="0" w:space="0" w:color="auto"/>
                        <w:bottom w:val="none" w:sz="0" w:space="0" w:color="auto"/>
                        <w:right w:val="none" w:sz="0" w:space="0" w:color="auto"/>
                      </w:divBdr>
                      <w:divsChild>
                        <w:div w:id="1795515481">
                          <w:marLeft w:val="0"/>
                          <w:marRight w:val="0"/>
                          <w:marTop w:val="0"/>
                          <w:marBottom w:val="0"/>
                          <w:divBdr>
                            <w:top w:val="none" w:sz="0" w:space="0" w:color="auto"/>
                            <w:left w:val="none" w:sz="0" w:space="0" w:color="auto"/>
                            <w:bottom w:val="none" w:sz="0" w:space="0" w:color="auto"/>
                            <w:right w:val="none" w:sz="0" w:space="0" w:color="auto"/>
                          </w:divBdr>
                          <w:divsChild>
                            <w:div w:id="50464111">
                              <w:marLeft w:val="0"/>
                              <w:marRight w:val="0"/>
                              <w:marTop w:val="0"/>
                              <w:marBottom w:val="0"/>
                              <w:divBdr>
                                <w:top w:val="none" w:sz="0" w:space="0" w:color="auto"/>
                                <w:left w:val="none" w:sz="0" w:space="0" w:color="auto"/>
                                <w:bottom w:val="none" w:sz="0" w:space="0" w:color="auto"/>
                                <w:right w:val="none" w:sz="0" w:space="0" w:color="auto"/>
                              </w:divBdr>
                              <w:divsChild>
                                <w:div w:id="1401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0428">
      <w:bodyDiv w:val="1"/>
      <w:marLeft w:val="0"/>
      <w:marRight w:val="0"/>
      <w:marTop w:val="0"/>
      <w:marBottom w:val="0"/>
      <w:divBdr>
        <w:top w:val="none" w:sz="0" w:space="0" w:color="auto"/>
        <w:left w:val="none" w:sz="0" w:space="0" w:color="auto"/>
        <w:bottom w:val="none" w:sz="0" w:space="0" w:color="auto"/>
        <w:right w:val="none" w:sz="0" w:space="0" w:color="auto"/>
      </w:divBdr>
      <w:divsChild>
        <w:div w:id="550002524">
          <w:marLeft w:val="0"/>
          <w:marRight w:val="0"/>
          <w:marTop w:val="0"/>
          <w:marBottom w:val="0"/>
          <w:divBdr>
            <w:top w:val="none" w:sz="0" w:space="0" w:color="auto"/>
            <w:left w:val="none" w:sz="0" w:space="0" w:color="auto"/>
            <w:bottom w:val="none" w:sz="0" w:space="0" w:color="auto"/>
            <w:right w:val="none" w:sz="0" w:space="0" w:color="auto"/>
          </w:divBdr>
          <w:divsChild>
            <w:div w:id="802848150">
              <w:marLeft w:val="0"/>
              <w:marRight w:val="0"/>
              <w:marTop w:val="0"/>
              <w:marBottom w:val="0"/>
              <w:divBdr>
                <w:top w:val="none" w:sz="0" w:space="0" w:color="auto"/>
                <w:left w:val="none" w:sz="0" w:space="0" w:color="auto"/>
                <w:bottom w:val="none" w:sz="0" w:space="0" w:color="auto"/>
                <w:right w:val="none" w:sz="0" w:space="0" w:color="auto"/>
              </w:divBdr>
              <w:divsChild>
                <w:div w:id="650720878">
                  <w:marLeft w:val="0"/>
                  <w:marRight w:val="0"/>
                  <w:marTop w:val="0"/>
                  <w:marBottom w:val="0"/>
                  <w:divBdr>
                    <w:top w:val="none" w:sz="0" w:space="0" w:color="auto"/>
                    <w:left w:val="none" w:sz="0" w:space="0" w:color="auto"/>
                    <w:bottom w:val="none" w:sz="0" w:space="0" w:color="auto"/>
                    <w:right w:val="none" w:sz="0" w:space="0" w:color="auto"/>
                  </w:divBdr>
                  <w:divsChild>
                    <w:div w:id="95486567">
                      <w:marLeft w:val="0"/>
                      <w:marRight w:val="0"/>
                      <w:marTop w:val="0"/>
                      <w:marBottom w:val="0"/>
                      <w:divBdr>
                        <w:top w:val="none" w:sz="0" w:space="0" w:color="auto"/>
                        <w:left w:val="none" w:sz="0" w:space="0" w:color="auto"/>
                        <w:bottom w:val="none" w:sz="0" w:space="0" w:color="auto"/>
                        <w:right w:val="none" w:sz="0" w:space="0" w:color="auto"/>
                      </w:divBdr>
                      <w:divsChild>
                        <w:div w:id="397939270">
                          <w:marLeft w:val="0"/>
                          <w:marRight w:val="0"/>
                          <w:marTop w:val="0"/>
                          <w:marBottom w:val="0"/>
                          <w:divBdr>
                            <w:top w:val="none" w:sz="0" w:space="0" w:color="auto"/>
                            <w:left w:val="none" w:sz="0" w:space="0" w:color="auto"/>
                            <w:bottom w:val="none" w:sz="0" w:space="0" w:color="auto"/>
                            <w:right w:val="none" w:sz="0" w:space="0" w:color="auto"/>
                          </w:divBdr>
                          <w:divsChild>
                            <w:div w:id="2109349650">
                              <w:marLeft w:val="0"/>
                              <w:marRight w:val="0"/>
                              <w:marTop w:val="0"/>
                              <w:marBottom w:val="0"/>
                              <w:divBdr>
                                <w:top w:val="none" w:sz="0" w:space="0" w:color="auto"/>
                                <w:left w:val="none" w:sz="0" w:space="0" w:color="auto"/>
                                <w:bottom w:val="none" w:sz="0" w:space="0" w:color="auto"/>
                                <w:right w:val="none" w:sz="0" w:space="0" w:color="auto"/>
                              </w:divBdr>
                              <w:divsChild>
                                <w:div w:id="17919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15257">
      <w:bodyDiv w:val="1"/>
      <w:marLeft w:val="0"/>
      <w:marRight w:val="0"/>
      <w:marTop w:val="0"/>
      <w:marBottom w:val="0"/>
      <w:divBdr>
        <w:top w:val="none" w:sz="0" w:space="0" w:color="auto"/>
        <w:left w:val="none" w:sz="0" w:space="0" w:color="auto"/>
        <w:bottom w:val="none" w:sz="0" w:space="0" w:color="auto"/>
        <w:right w:val="none" w:sz="0" w:space="0" w:color="auto"/>
      </w:divBdr>
    </w:div>
    <w:div w:id="1947998428">
      <w:bodyDiv w:val="1"/>
      <w:marLeft w:val="0"/>
      <w:marRight w:val="0"/>
      <w:marTop w:val="0"/>
      <w:marBottom w:val="0"/>
      <w:divBdr>
        <w:top w:val="none" w:sz="0" w:space="0" w:color="auto"/>
        <w:left w:val="none" w:sz="0" w:space="0" w:color="auto"/>
        <w:bottom w:val="none" w:sz="0" w:space="0" w:color="auto"/>
        <w:right w:val="none" w:sz="0" w:space="0" w:color="auto"/>
      </w:divBdr>
      <w:divsChild>
        <w:div w:id="1282228515">
          <w:marLeft w:val="0"/>
          <w:marRight w:val="0"/>
          <w:marTop w:val="0"/>
          <w:marBottom w:val="0"/>
          <w:divBdr>
            <w:top w:val="none" w:sz="0" w:space="0" w:color="auto"/>
            <w:left w:val="none" w:sz="0" w:space="0" w:color="auto"/>
            <w:bottom w:val="none" w:sz="0" w:space="0" w:color="auto"/>
            <w:right w:val="none" w:sz="0" w:space="0" w:color="auto"/>
          </w:divBdr>
          <w:divsChild>
            <w:div w:id="1751464059">
              <w:marLeft w:val="0"/>
              <w:marRight w:val="0"/>
              <w:marTop w:val="0"/>
              <w:marBottom w:val="0"/>
              <w:divBdr>
                <w:top w:val="none" w:sz="0" w:space="0" w:color="auto"/>
                <w:left w:val="none" w:sz="0" w:space="0" w:color="auto"/>
                <w:bottom w:val="none" w:sz="0" w:space="0" w:color="auto"/>
                <w:right w:val="none" w:sz="0" w:space="0" w:color="auto"/>
              </w:divBdr>
              <w:divsChild>
                <w:div w:id="1898738505">
                  <w:marLeft w:val="0"/>
                  <w:marRight w:val="0"/>
                  <w:marTop w:val="0"/>
                  <w:marBottom w:val="0"/>
                  <w:divBdr>
                    <w:top w:val="none" w:sz="0" w:space="0" w:color="auto"/>
                    <w:left w:val="none" w:sz="0" w:space="0" w:color="auto"/>
                    <w:bottom w:val="none" w:sz="0" w:space="0" w:color="auto"/>
                    <w:right w:val="none" w:sz="0" w:space="0" w:color="auto"/>
                  </w:divBdr>
                  <w:divsChild>
                    <w:div w:id="1077359759">
                      <w:marLeft w:val="0"/>
                      <w:marRight w:val="0"/>
                      <w:marTop w:val="0"/>
                      <w:marBottom w:val="0"/>
                      <w:divBdr>
                        <w:top w:val="none" w:sz="0" w:space="0" w:color="auto"/>
                        <w:left w:val="none" w:sz="0" w:space="0" w:color="auto"/>
                        <w:bottom w:val="none" w:sz="0" w:space="0" w:color="auto"/>
                        <w:right w:val="none" w:sz="0" w:space="0" w:color="auto"/>
                      </w:divBdr>
                      <w:divsChild>
                        <w:div w:id="416638094">
                          <w:marLeft w:val="0"/>
                          <w:marRight w:val="0"/>
                          <w:marTop w:val="0"/>
                          <w:marBottom w:val="0"/>
                          <w:divBdr>
                            <w:top w:val="none" w:sz="0" w:space="0" w:color="auto"/>
                            <w:left w:val="none" w:sz="0" w:space="0" w:color="auto"/>
                            <w:bottom w:val="none" w:sz="0" w:space="0" w:color="auto"/>
                            <w:right w:val="none" w:sz="0" w:space="0" w:color="auto"/>
                          </w:divBdr>
                          <w:divsChild>
                            <w:div w:id="1649096141">
                              <w:marLeft w:val="0"/>
                              <w:marRight w:val="0"/>
                              <w:marTop w:val="0"/>
                              <w:marBottom w:val="0"/>
                              <w:divBdr>
                                <w:top w:val="none" w:sz="0" w:space="0" w:color="auto"/>
                                <w:left w:val="none" w:sz="0" w:space="0" w:color="auto"/>
                                <w:bottom w:val="none" w:sz="0" w:space="0" w:color="auto"/>
                                <w:right w:val="none" w:sz="0" w:space="0" w:color="auto"/>
                              </w:divBdr>
                              <w:divsChild>
                                <w:div w:id="1904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emf"/><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diasterling\Danske%20-%20NonEquities%20Research\Danske%20Non-Equities\DM_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33253-4B3E-46A8-A8EF-7A543EF7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DM_Research</Template>
  <TotalTime>1</TotalTime>
  <Pages>9</Pages>
  <Words>2522</Words>
  <Characters>20435</Characters>
  <Application>Microsoft Office Word</Application>
  <DocSecurity>4</DocSecurity>
  <Lines>170</Lines>
  <Paragraphs>45</Paragraphs>
  <ScaleCrop>false</ScaleCrop>
  <HeadingPairs>
    <vt:vector size="2" baseType="variant">
      <vt:variant>
        <vt:lpstr>Title</vt:lpstr>
      </vt:variant>
      <vt:variant>
        <vt:i4>1</vt:i4>
      </vt:variant>
    </vt:vector>
  </HeadingPairs>
  <TitlesOfParts>
    <vt:vector size="1" baseType="lpstr">
      <vt:lpstr>Danske Research</vt:lpstr>
    </vt:vector>
  </TitlesOfParts>
  <Manager>James Travis</Manager>
  <Company>Mediasterling</Company>
  <LinksUpToDate>false</LinksUpToDate>
  <CharactersWithSpaces>22912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Danske Research</dc:title>
  <dc:creator>ba3030</dc:creator>
  <dc:description>www.mediasterling.com</dc:description>
  <cp:lastModifiedBy>Josi Matti Samuli Tikkanen</cp:lastModifiedBy>
  <cp:revision>2</cp:revision>
  <cp:lastPrinted>2017-01-31T07:40:00Z</cp:lastPrinted>
  <dcterms:created xsi:type="dcterms:W3CDTF">2019-01-22T11:00:00Z</dcterms:created>
  <dcterms:modified xsi:type="dcterms:W3CDTF">2019-01-22T11:00:00Z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PathToINIFile">
    <vt:lpwstr>DM_Research.ini</vt:lpwstr>
  </property>
  <property fmtid="{D5CDD505-2E9C-101B-9397-08002B2CF9AE}" pid="3" name="MS_Debugging">
    <vt:bool>false</vt:bool>
  </property>
  <property fmtid="{D5CDD505-2E9C-101B-9397-08002B2CF9AE}" pid="4" name="AnalystOption">
    <vt:bool>false</vt:bool>
  </property>
  <property fmtid="{D5CDD505-2E9C-101B-9397-08002B2CF9AE}" pid="5" name="MS_Version">
    <vt:lpwstr>2.2</vt:lpwstr>
  </property>
</Properties>
</file>